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F4E2F" w14:textId="0867318C" w:rsidR="001A6019" w:rsidRPr="00D661BF" w:rsidRDefault="001A6019" w:rsidP="001A6019">
      <w:pPr>
        <w:pStyle w:val="Body"/>
        <w:jc w:val="center"/>
        <w:rPr>
          <w:rFonts w:eastAsia="Avenir Heavy" w:cs="Times New Roman"/>
          <w:b/>
          <w:bCs/>
        </w:rPr>
      </w:pPr>
      <w:r w:rsidRPr="00D661BF">
        <w:rPr>
          <w:rFonts w:cs="Times New Roman"/>
          <w:b/>
          <w:bCs/>
        </w:rPr>
        <w:t>PROJECT NO. 5</w:t>
      </w:r>
      <w:r w:rsidR="00677F20">
        <w:rPr>
          <w:rFonts w:cs="Times New Roman"/>
          <w:b/>
          <w:bCs/>
        </w:rPr>
        <w:t>4335</w:t>
      </w:r>
    </w:p>
    <w:tbl>
      <w:tblPr>
        <w:tblW w:w="10296" w:type="dxa"/>
        <w:jc w:val="center"/>
        <w:shd w:val="clear" w:color="auto" w:fill="CED7E7"/>
        <w:tblLayout w:type="fixed"/>
        <w:tblLook w:val="04A0" w:firstRow="1" w:lastRow="0" w:firstColumn="1" w:lastColumn="0" w:noHBand="0" w:noVBand="1"/>
      </w:tblPr>
      <w:tblGrid>
        <w:gridCol w:w="4662"/>
        <w:gridCol w:w="516"/>
        <w:gridCol w:w="5118"/>
      </w:tblGrid>
      <w:tr w:rsidR="001A6019" w:rsidRPr="00D661BF" w14:paraId="4E4D776D" w14:textId="77777777" w:rsidTr="002C18D3">
        <w:trPr>
          <w:trHeight w:val="1520"/>
          <w:jc w:val="center"/>
        </w:trPr>
        <w:tc>
          <w:tcPr>
            <w:tcW w:w="4662" w:type="dxa"/>
            <w:shd w:val="clear" w:color="auto" w:fill="auto"/>
            <w:tcMar>
              <w:top w:w="80" w:type="dxa"/>
              <w:left w:w="80" w:type="dxa"/>
              <w:bottom w:w="80" w:type="dxa"/>
              <w:right w:w="80" w:type="dxa"/>
            </w:tcMar>
          </w:tcPr>
          <w:p w14:paraId="2DE7288F" w14:textId="77777777" w:rsidR="001A6019" w:rsidRPr="00D661BF" w:rsidRDefault="001A6019">
            <w:pPr>
              <w:pStyle w:val="Body"/>
              <w:jc w:val="center"/>
              <w:rPr>
                <w:rFonts w:eastAsia="Avenir Heavy" w:cs="Times New Roman"/>
                <w:b/>
                <w:bCs/>
              </w:rPr>
            </w:pPr>
          </w:p>
          <w:p w14:paraId="408D707E" w14:textId="63AAF494" w:rsidR="001A6019" w:rsidRPr="00D661BF" w:rsidRDefault="00677F20" w:rsidP="001B14E4">
            <w:pPr>
              <w:pStyle w:val="Body"/>
              <w:rPr>
                <w:rFonts w:cs="Times New Roman"/>
                <w:b/>
                <w:bCs/>
              </w:rPr>
            </w:pPr>
            <w:r w:rsidRPr="00677F20">
              <w:rPr>
                <w:rFonts w:cs="Times New Roman"/>
                <w:b/>
                <w:bCs/>
              </w:rPr>
              <w:t xml:space="preserve">REVIEW OF MARKET REFORM ASSESSMENT PRODUCED BY ENERGY AND ENVIRONMENTAL ECONOMICS, INC. (E3) </w:t>
            </w:r>
          </w:p>
        </w:tc>
        <w:tc>
          <w:tcPr>
            <w:tcW w:w="516" w:type="dxa"/>
            <w:shd w:val="clear" w:color="auto" w:fill="auto"/>
            <w:tcMar>
              <w:top w:w="80" w:type="dxa"/>
              <w:left w:w="80" w:type="dxa"/>
              <w:bottom w:w="80" w:type="dxa"/>
              <w:right w:w="80" w:type="dxa"/>
            </w:tcMar>
          </w:tcPr>
          <w:p w14:paraId="0D217056" w14:textId="77777777" w:rsidR="001A6019" w:rsidRPr="00D661BF" w:rsidRDefault="001A6019">
            <w:pPr>
              <w:pStyle w:val="Body"/>
              <w:jc w:val="center"/>
              <w:rPr>
                <w:rFonts w:eastAsia="Avenir Heavy" w:cs="Times New Roman"/>
                <w:b/>
                <w:bCs/>
              </w:rPr>
            </w:pPr>
          </w:p>
          <w:p w14:paraId="56DF4F8F" w14:textId="77777777" w:rsidR="001A6019" w:rsidRPr="00D661BF" w:rsidRDefault="001A6019">
            <w:pPr>
              <w:pStyle w:val="Body"/>
              <w:jc w:val="center"/>
              <w:rPr>
                <w:rFonts w:eastAsia="Avenir Heavy" w:cs="Times New Roman"/>
                <w:b/>
                <w:bCs/>
              </w:rPr>
            </w:pPr>
            <w:r w:rsidRPr="00D661BF">
              <w:rPr>
                <w:rFonts w:cs="Times New Roman"/>
                <w:b/>
                <w:bCs/>
              </w:rPr>
              <w:t>§</w:t>
            </w:r>
          </w:p>
          <w:p w14:paraId="4FFC0341" w14:textId="77777777" w:rsidR="001A6019" w:rsidRPr="00D661BF" w:rsidRDefault="001A6019">
            <w:pPr>
              <w:pStyle w:val="Body"/>
              <w:jc w:val="center"/>
              <w:rPr>
                <w:rFonts w:eastAsia="Avenir Heavy" w:cs="Times New Roman"/>
                <w:b/>
                <w:bCs/>
              </w:rPr>
            </w:pPr>
            <w:r w:rsidRPr="00D661BF">
              <w:rPr>
                <w:rFonts w:cs="Times New Roman"/>
                <w:b/>
                <w:bCs/>
              </w:rPr>
              <w:t>§</w:t>
            </w:r>
          </w:p>
          <w:p w14:paraId="5C5FCACB" w14:textId="77777777" w:rsidR="001A6019" w:rsidRDefault="001A6019">
            <w:pPr>
              <w:pStyle w:val="Body"/>
              <w:jc w:val="center"/>
              <w:rPr>
                <w:rFonts w:cs="Times New Roman"/>
                <w:b/>
                <w:bCs/>
              </w:rPr>
            </w:pPr>
            <w:r w:rsidRPr="00D661BF">
              <w:rPr>
                <w:rFonts w:cs="Times New Roman"/>
                <w:b/>
                <w:bCs/>
              </w:rPr>
              <w:t>§</w:t>
            </w:r>
          </w:p>
          <w:p w14:paraId="1215BA72" w14:textId="7BAF4FE8" w:rsidR="00852780" w:rsidRPr="00D661BF" w:rsidRDefault="00852780">
            <w:pPr>
              <w:pStyle w:val="Body"/>
              <w:jc w:val="center"/>
              <w:rPr>
                <w:rFonts w:cs="Times New Roman"/>
                <w:b/>
                <w:bCs/>
              </w:rPr>
            </w:pPr>
            <w:r>
              <w:rPr>
                <w:rFonts w:cs="Times New Roman"/>
                <w:b/>
                <w:bCs/>
              </w:rPr>
              <w:t>§</w:t>
            </w:r>
          </w:p>
        </w:tc>
        <w:tc>
          <w:tcPr>
            <w:tcW w:w="5118" w:type="dxa"/>
            <w:shd w:val="clear" w:color="auto" w:fill="auto"/>
            <w:tcMar>
              <w:top w:w="80" w:type="dxa"/>
              <w:left w:w="80" w:type="dxa"/>
              <w:bottom w:w="80" w:type="dxa"/>
              <w:right w:w="80" w:type="dxa"/>
            </w:tcMar>
          </w:tcPr>
          <w:p w14:paraId="669E551E" w14:textId="77777777" w:rsidR="001A6019" w:rsidRPr="00D661BF" w:rsidRDefault="001A6019">
            <w:pPr>
              <w:pStyle w:val="Body"/>
              <w:jc w:val="center"/>
              <w:rPr>
                <w:rFonts w:eastAsia="Avenir Heavy" w:cs="Times New Roman"/>
                <w:b/>
                <w:bCs/>
              </w:rPr>
            </w:pPr>
          </w:p>
          <w:p w14:paraId="63345875" w14:textId="77777777" w:rsidR="001A6019" w:rsidRPr="00D661BF" w:rsidRDefault="001A6019">
            <w:pPr>
              <w:pStyle w:val="Body"/>
              <w:jc w:val="center"/>
              <w:rPr>
                <w:rFonts w:eastAsia="Avenir Heavy" w:cs="Times New Roman"/>
                <w:b/>
                <w:bCs/>
              </w:rPr>
            </w:pPr>
            <w:r w:rsidRPr="00D661BF">
              <w:rPr>
                <w:rFonts w:cs="Times New Roman"/>
                <w:b/>
                <w:bCs/>
              </w:rPr>
              <w:t>PUBLIC UTILITY COMMISSION</w:t>
            </w:r>
          </w:p>
          <w:p w14:paraId="6A32644E" w14:textId="1692FB6F" w:rsidR="001A6019" w:rsidRPr="00D661BF" w:rsidRDefault="001A6019">
            <w:pPr>
              <w:pStyle w:val="Body"/>
              <w:jc w:val="center"/>
              <w:rPr>
                <w:rFonts w:eastAsia="Avenir Heavy" w:cs="Times New Roman"/>
                <w:b/>
                <w:bCs/>
              </w:rPr>
            </w:pPr>
          </w:p>
          <w:p w14:paraId="2A3F0271" w14:textId="2C82D282" w:rsidR="001A6019" w:rsidRPr="00D661BF" w:rsidRDefault="00852780">
            <w:pPr>
              <w:pStyle w:val="Body"/>
              <w:jc w:val="center"/>
              <w:rPr>
                <w:rFonts w:cs="Times New Roman"/>
                <w:b/>
                <w:bCs/>
              </w:rPr>
            </w:pPr>
            <w:r>
              <w:rPr>
                <w:rFonts w:cs="Times New Roman"/>
                <w:b/>
                <w:bCs/>
              </w:rPr>
              <w:t>O</w:t>
            </w:r>
            <w:r w:rsidR="00F435ED">
              <w:rPr>
                <w:rFonts w:cs="Times New Roman"/>
                <w:b/>
                <w:bCs/>
              </w:rPr>
              <w:t xml:space="preserve">F </w:t>
            </w:r>
            <w:r w:rsidR="001A6019" w:rsidRPr="00D661BF">
              <w:rPr>
                <w:rFonts w:cs="Times New Roman"/>
                <w:b/>
                <w:bCs/>
              </w:rPr>
              <w:t>TEXAS</w:t>
            </w:r>
          </w:p>
        </w:tc>
      </w:tr>
    </w:tbl>
    <w:p w14:paraId="4F2DC5B4" w14:textId="77777777" w:rsidR="00AE17BC" w:rsidRDefault="00AE17BC">
      <w:pPr>
        <w:tabs>
          <w:tab w:val="left" w:pos="7920"/>
        </w:tabs>
        <w:spacing w:line="259" w:lineRule="auto"/>
        <w:jc w:val="center"/>
        <w:rPr>
          <w:b/>
          <w:sz w:val="24"/>
          <w:szCs w:val="24"/>
        </w:rPr>
      </w:pPr>
    </w:p>
    <w:p w14:paraId="00000016" w14:textId="05595565" w:rsidR="006864CF" w:rsidRPr="00D661BF" w:rsidRDefault="007C5C8E">
      <w:pPr>
        <w:tabs>
          <w:tab w:val="left" w:pos="7920"/>
        </w:tabs>
        <w:spacing w:line="259" w:lineRule="auto"/>
        <w:jc w:val="center"/>
        <w:rPr>
          <w:b/>
          <w:sz w:val="24"/>
          <w:szCs w:val="24"/>
        </w:rPr>
      </w:pPr>
      <w:r w:rsidRPr="00D661BF">
        <w:rPr>
          <w:b/>
          <w:sz w:val="24"/>
          <w:szCs w:val="24"/>
        </w:rPr>
        <w:t xml:space="preserve">COMMENTS OF </w:t>
      </w:r>
    </w:p>
    <w:p w14:paraId="00000017" w14:textId="77777777" w:rsidR="006864CF" w:rsidRPr="00D661BF" w:rsidRDefault="007C5C8E">
      <w:pPr>
        <w:tabs>
          <w:tab w:val="left" w:pos="7920"/>
        </w:tabs>
        <w:spacing w:line="259" w:lineRule="auto"/>
        <w:jc w:val="center"/>
        <w:rPr>
          <w:b/>
          <w:sz w:val="24"/>
          <w:szCs w:val="24"/>
        </w:rPr>
      </w:pPr>
      <w:r w:rsidRPr="00D661BF">
        <w:rPr>
          <w:b/>
          <w:sz w:val="24"/>
          <w:szCs w:val="24"/>
        </w:rPr>
        <w:t>ADVANCED ENERGY MANAGEMENT ALLIANCE</w:t>
      </w:r>
    </w:p>
    <w:p w14:paraId="00000018" w14:textId="77777777" w:rsidR="006864CF" w:rsidRPr="00D661BF" w:rsidRDefault="006864CF">
      <w:pPr>
        <w:jc w:val="center"/>
        <w:rPr>
          <w:sz w:val="24"/>
          <w:szCs w:val="24"/>
        </w:rPr>
      </w:pPr>
    </w:p>
    <w:p w14:paraId="0000001E" w14:textId="44521844" w:rsidR="006864CF" w:rsidRPr="00D661BF" w:rsidRDefault="007C5C8E">
      <w:pPr>
        <w:spacing w:line="480" w:lineRule="auto"/>
        <w:jc w:val="both"/>
        <w:rPr>
          <w:sz w:val="24"/>
          <w:szCs w:val="24"/>
        </w:rPr>
      </w:pPr>
      <w:r w:rsidRPr="00D661BF">
        <w:rPr>
          <w:sz w:val="24"/>
          <w:szCs w:val="24"/>
        </w:rPr>
        <w:tab/>
        <w:t>COMES NOW the Advanced Energy Management Alliance (AEMA) and files these Comments in response to the Commission</w:t>
      </w:r>
      <w:r w:rsidR="00D661BF">
        <w:rPr>
          <w:sz w:val="24"/>
          <w:szCs w:val="24"/>
        </w:rPr>
        <w:t xml:space="preserve"> Staff</w:t>
      </w:r>
      <w:r w:rsidRPr="00D661BF">
        <w:rPr>
          <w:sz w:val="24"/>
          <w:szCs w:val="24"/>
        </w:rPr>
        <w:t xml:space="preserve">’s </w:t>
      </w:r>
      <w:r w:rsidR="00677F20">
        <w:rPr>
          <w:sz w:val="24"/>
          <w:szCs w:val="24"/>
        </w:rPr>
        <w:t>Request for Comments</w:t>
      </w:r>
      <w:r w:rsidRPr="00D661BF">
        <w:rPr>
          <w:sz w:val="24"/>
          <w:szCs w:val="24"/>
        </w:rPr>
        <w:t xml:space="preserve"> filed in this proceeding on </w:t>
      </w:r>
      <w:r w:rsidR="00677F20">
        <w:rPr>
          <w:sz w:val="24"/>
          <w:szCs w:val="24"/>
        </w:rPr>
        <w:t>November</w:t>
      </w:r>
      <w:r w:rsidRPr="00D661BF">
        <w:rPr>
          <w:sz w:val="24"/>
          <w:szCs w:val="24"/>
        </w:rPr>
        <w:t xml:space="preserve"> 2</w:t>
      </w:r>
      <w:r w:rsidR="00677F20">
        <w:rPr>
          <w:sz w:val="24"/>
          <w:szCs w:val="24"/>
        </w:rPr>
        <w:t>5</w:t>
      </w:r>
      <w:r w:rsidRPr="00D661BF">
        <w:rPr>
          <w:sz w:val="24"/>
          <w:szCs w:val="24"/>
        </w:rPr>
        <w:t>, 202</w:t>
      </w:r>
      <w:r w:rsidR="00D661BF">
        <w:rPr>
          <w:sz w:val="24"/>
          <w:szCs w:val="24"/>
        </w:rPr>
        <w:t>2</w:t>
      </w:r>
      <w:r w:rsidRPr="00D661BF">
        <w:rPr>
          <w:sz w:val="24"/>
          <w:szCs w:val="24"/>
        </w:rPr>
        <w:t xml:space="preserve">.  AEMA is a trade association under Section 501(c)(6) of the Federal tax code whose members include national distributed energy resource companies and advanced energy management service and technology providers, including demand response (DR) providers, as well as some of the nation’s largest demand response and distributed energy resources (DERs) and consumers. The comments herein represent the views of the organization </w:t>
      </w:r>
      <w:proofErr w:type="gramStart"/>
      <w:r w:rsidRPr="00D661BF">
        <w:rPr>
          <w:sz w:val="24"/>
          <w:szCs w:val="24"/>
        </w:rPr>
        <w:t>as a whole rather</w:t>
      </w:r>
      <w:proofErr w:type="gramEnd"/>
      <w:r w:rsidRPr="00D661BF">
        <w:rPr>
          <w:sz w:val="24"/>
          <w:szCs w:val="24"/>
        </w:rPr>
        <w:t xml:space="preserve"> than those of any individual member. </w:t>
      </w:r>
    </w:p>
    <w:p w14:paraId="0000001F" w14:textId="43C08EB9" w:rsidR="006864CF" w:rsidRPr="00D661BF" w:rsidRDefault="007C5C8E" w:rsidP="00BA428E">
      <w:pPr>
        <w:jc w:val="center"/>
        <w:rPr>
          <w:b/>
          <w:sz w:val="24"/>
          <w:szCs w:val="24"/>
        </w:rPr>
      </w:pPr>
      <w:r w:rsidRPr="00D661BF">
        <w:rPr>
          <w:b/>
          <w:sz w:val="24"/>
          <w:szCs w:val="24"/>
        </w:rPr>
        <w:t>Introduction</w:t>
      </w:r>
    </w:p>
    <w:p w14:paraId="4D30382E" w14:textId="77777777" w:rsidR="00FF0186" w:rsidRPr="00D661BF" w:rsidRDefault="00FF0186" w:rsidP="00BA428E">
      <w:pPr>
        <w:jc w:val="center"/>
        <w:rPr>
          <w:b/>
          <w:sz w:val="24"/>
          <w:szCs w:val="24"/>
        </w:rPr>
      </w:pPr>
    </w:p>
    <w:p w14:paraId="12DD0AAB" w14:textId="74E41117" w:rsidR="00CE5661" w:rsidRDefault="00CE5661">
      <w:pPr>
        <w:spacing w:line="480" w:lineRule="auto"/>
        <w:ind w:firstLine="720"/>
        <w:jc w:val="both"/>
        <w:rPr>
          <w:sz w:val="24"/>
          <w:szCs w:val="24"/>
        </w:rPr>
      </w:pPr>
      <w:r w:rsidRPr="00CE5661">
        <w:rPr>
          <w:sz w:val="24"/>
          <w:szCs w:val="24"/>
        </w:rPr>
        <w:t>The Commission should ensure dispatchable demand-side technologies, or DR, are able to play a greater role in ensuring the reliability of the grid. It is possible for a market design for resource adequacy to send powerful incentives to demand to flex energy usage during system-critical hours to both save consumers money and improve reliability.</w:t>
      </w:r>
    </w:p>
    <w:p w14:paraId="56D79EAF" w14:textId="1BE748B5" w:rsidR="00445F29" w:rsidRPr="008F3E94" w:rsidRDefault="00677F20">
      <w:pPr>
        <w:spacing w:line="480" w:lineRule="auto"/>
        <w:ind w:firstLine="720"/>
        <w:jc w:val="both"/>
        <w:rPr>
          <w:sz w:val="24"/>
          <w:szCs w:val="24"/>
        </w:rPr>
      </w:pPr>
      <w:r w:rsidRPr="008F3E94">
        <w:rPr>
          <w:sz w:val="24"/>
          <w:szCs w:val="24"/>
        </w:rPr>
        <w:t xml:space="preserve">Unfortunately, the </w:t>
      </w:r>
      <w:r w:rsidR="00C16302">
        <w:rPr>
          <w:sz w:val="24"/>
          <w:szCs w:val="24"/>
        </w:rPr>
        <w:t xml:space="preserve">E3 </w:t>
      </w:r>
      <w:r w:rsidRPr="008F3E94">
        <w:rPr>
          <w:sz w:val="24"/>
          <w:szCs w:val="24"/>
        </w:rPr>
        <w:t xml:space="preserve">report </w:t>
      </w:r>
      <w:r w:rsidR="00C16302">
        <w:rPr>
          <w:sz w:val="24"/>
          <w:szCs w:val="24"/>
        </w:rPr>
        <w:t xml:space="preserve">itself </w:t>
      </w:r>
      <w:r w:rsidRPr="008F3E94">
        <w:rPr>
          <w:sz w:val="24"/>
          <w:szCs w:val="24"/>
        </w:rPr>
        <w:t xml:space="preserve">fails to </w:t>
      </w:r>
      <w:r w:rsidR="00EC60B2" w:rsidRPr="008F3E94">
        <w:rPr>
          <w:sz w:val="24"/>
          <w:szCs w:val="24"/>
        </w:rPr>
        <w:t xml:space="preserve">appropriately </w:t>
      </w:r>
      <w:r w:rsidRPr="008F3E94">
        <w:rPr>
          <w:sz w:val="24"/>
          <w:szCs w:val="24"/>
        </w:rPr>
        <w:t xml:space="preserve">incorporate </w:t>
      </w:r>
      <w:r w:rsidR="00EC60B2" w:rsidRPr="008F3E94">
        <w:rPr>
          <w:sz w:val="24"/>
          <w:szCs w:val="24"/>
        </w:rPr>
        <w:t>demand-side solutions</w:t>
      </w:r>
      <w:r w:rsidR="00E9634D" w:rsidRPr="008F3E94">
        <w:rPr>
          <w:sz w:val="24"/>
          <w:szCs w:val="24"/>
        </w:rPr>
        <w:t>, including both demand response and energy efficiency</w:t>
      </w:r>
      <w:r w:rsidRPr="008F3E94">
        <w:rPr>
          <w:sz w:val="24"/>
          <w:szCs w:val="24"/>
        </w:rPr>
        <w:t>.</w:t>
      </w:r>
      <w:r w:rsidR="00445F29" w:rsidRPr="008F3E94">
        <w:rPr>
          <w:sz w:val="24"/>
          <w:szCs w:val="24"/>
        </w:rPr>
        <w:t xml:space="preserve"> For example, </w:t>
      </w:r>
      <w:r w:rsidR="00C16302">
        <w:rPr>
          <w:sz w:val="24"/>
          <w:szCs w:val="24"/>
        </w:rPr>
        <w:t xml:space="preserve">DR </w:t>
      </w:r>
      <w:r w:rsidR="00445F29" w:rsidRPr="008F3E94">
        <w:rPr>
          <w:sz w:val="24"/>
          <w:szCs w:val="24"/>
        </w:rPr>
        <w:t>is modeled with no net additions between 2022 and 2026</w:t>
      </w:r>
      <w:r w:rsidR="007B28FA">
        <w:rPr>
          <w:sz w:val="24"/>
          <w:szCs w:val="24"/>
        </w:rPr>
        <w:t>,</w:t>
      </w:r>
      <w:r w:rsidR="00445F29" w:rsidRPr="008F3E94">
        <w:rPr>
          <w:rStyle w:val="FootnoteReference"/>
          <w:sz w:val="24"/>
          <w:szCs w:val="24"/>
        </w:rPr>
        <w:footnoteReference w:id="2"/>
      </w:r>
      <w:r w:rsidR="00BE2F93" w:rsidRPr="008F3E94">
        <w:rPr>
          <w:sz w:val="24"/>
          <w:szCs w:val="24"/>
        </w:rPr>
        <w:t xml:space="preserve"> and consequently t</w:t>
      </w:r>
      <w:r w:rsidR="00445F29" w:rsidRPr="008F3E94">
        <w:rPr>
          <w:sz w:val="24"/>
          <w:szCs w:val="24"/>
        </w:rPr>
        <w:t xml:space="preserve">he output for each market design reform </w:t>
      </w:r>
      <w:r w:rsidR="00445F29" w:rsidRPr="008F3E94">
        <w:rPr>
          <w:sz w:val="24"/>
          <w:szCs w:val="24"/>
        </w:rPr>
        <w:lastRenderedPageBreak/>
        <w:t xml:space="preserve">proposal is </w:t>
      </w:r>
      <w:r w:rsidR="00BE2F93" w:rsidRPr="008F3E94">
        <w:rPr>
          <w:sz w:val="24"/>
          <w:szCs w:val="24"/>
        </w:rPr>
        <w:t>static</w:t>
      </w:r>
      <w:r w:rsidR="00445F29" w:rsidRPr="008F3E94">
        <w:rPr>
          <w:sz w:val="24"/>
          <w:szCs w:val="24"/>
        </w:rPr>
        <w:t xml:space="preserve"> – demand response does not grow between 2022 and 2026</w:t>
      </w:r>
      <w:r w:rsidR="00BE2F93" w:rsidRPr="008F3E94">
        <w:rPr>
          <w:sz w:val="24"/>
          <w:szCs w:val="24"/>
        </w:rPr>
        <w:t>.</w:t>
      </w:r>
      <w:r w:rsidR="00445F29" w:rsidRPr="008F3E94">
        <w:rPr>
          <w:rStyle w:val="FootnoteReference"/>
          <w:sz w:val="24"/>
          <w:szCs w:val="24"/>
        </w:rPr>
        <w:footnoteReference w:id="3"/>
      </w:r>
      <w:r w:rsidR="00445F29" w:rsidRPr="008F3E94">
        <w:rPr>
          <w:sz w:val="24"/>
          <w:szCs w:val="24"/>
        </w:rPr>
        <w:t xml:space="preserve"> </w:t>
      </w:r>
      <w:r w:rsidR="007B28FA">
        <w:rPr>
          <w:sz w:val="24"/>
          <w:szCs w:val="24"/>
        </w:rPr>
        <w:t>The lack of growth in DR</w:t>
      </w:r>
      <w:r w:rsidR="00BE2F93" w:rsidRPr="008F3E94">
        <w:rPr>
          <w:sz w:val="24"/>
          <w:szCs w:val="24"/>
        </w:rPr>
        <w:t xml:space="preserve"> seem to contradict </w:t>
      </w:r>
      <w:r w:rsidR="00445F29" w:rsidRPr="008F3E94">
        <w:rPr>
          <w:sz w:val="24"/>
          <w:szCs w:val="24"/>
        </w:rPr>
        <w:t>the report’s conclusion that</w:t>
      </w:r>
      <w:r w:rsidR="008D631F" w:rsidRPr="008F3E94">
        <w:rPr>
          <w:sz w:val="24"/>
          <w:szCs w:val="24"/>
        </w:rPr>
        <w:t xml:space="preserve"> all of the new market designs, including the Load Serving Entity Reliability Obligation (LSERO), the Forward Reliability Market (FRM), the Performance Credit Mechanism (PCM), the Backstop Reliability Service (BRS), and the Dispatchable Energy Credits (DEC)</w:t>
      </w:r>
      <w:r w:rsidR="00390372">
        <w:rPr>
          <w:sz w:val="24"/>
          <w:szCs w:val="24"/>
        </w:rPr>
        <w:t xml:space="preserve"> proposal,</w:t>
      </w:r>
      <w:r w:rsidR="008D631F" w:rsidRPr="008F3E94">
        <w:rPr>
          <w:sz w:val="24"/>
          <w:szCs w:val="24"/>
        </w:rPr>
        <w:t xml:space="preserve"> create a “strong ability to facilitate demand response</w:t>
      </w:r>
      <w:r w:rsidR="00C16302">
        <w:rPr>
          <w:sz w:val="24"/>
          <w:szCs w:val="24"/>
        </w:rPr>
        <w:t>.</w:t>
      </w:r>
      <w:r w:rsidR="008D631F" w:rsidRPr="008F3E94">
        <w:rPr>
          <w:sz w:val="24"/>
          <w:szCs w:val="24"/>
        </w:rPr>
        <w:t>”</w:t>
      </w:r>
      <w:r w:rsidR="008D631F" w:rsidRPr="008F3E94">
        <w:rPr>
          <w:rStyle w:val="FootnoteReference"/>
          <w:sz w:val="24"/>
          <w:szCs w:val="24"/>
        </w:rPr>
        <w:footnoteReference w:id="4"/>
      </w:r>
      <w:r w:rsidR="00C16302">
        <w:rPr>
          <w:sz w:val="24"/>
          <w:szCs w:val="24"/>
        </w:rPr>
        <w:t xml:space="preserve"> </w:t>
      </w:r>
      <w:r w:rsidR="007370D7">
        <w:rPr>
          <w:sz w:val="24"/>
          <w:szCs w:val="24"/>
        </w:rPr>
        <w:t>While load-serving entities and customers are likely to be able to use DR as a hedge against the costs of any new reliability product the Commission adopts, t</w:t>
      </w:r>
      <w:r w:rsidR="00C16302">
        <w:rPr>
          <w:sz w:val="24"/>
          <w:szCs w:val="24"/>
        </w:rPr>
        <w:t xml:space="preserve">he Commission should make clear </w:t>
      </w:r>
      <w:r w:rsidR="008D631F" w:rsidRPr="008F3E94">
        <w:rPr>
          <w:sz w:val="24"/>
          <w:szCs w:val="24"/>
        </w:rPr>
        <w:t xml:space="preserve">that demand response can </w:t>
      </w:r>
      <w:r w:rsidR="007370D7">
        <w:rPr>
          <w:sz w:val="24"/>
          <w:szCs w:val="24"/>
        </w:rPr>
        <w:t xml:space="preserve">also </w:t>
      </w:r>
      <w:r w:rsidR="00231706">
        <w:rPr>
          <w:sz w:val="24"/>
          <w:szCs w:val="24"/>
        </w:rPr>
        <w:t xml:space="preserve">proactively </w:t>
      </w:r>
      <w:r w:rsidR="008D631F" w:rsidRPr="008F3E94">
        <w:rPr>
          <w:sz w:val="24"/>
          <w:szCs w:val="24"/>
        </w:rPr>
        <w:t>participate as a</w:t>
      </w:r>
      <w:r w:rsidR="007370D7">
        <w:rPr>
          <w:sz w:val="24"/>
          <w:szCs w:val="24"/>
        </w:rPr>
        <w:t>n eligible</w:t>
      </w:r>
      <w:r w:rsidR="008D631F" w:rsidRPr="008F3E94">
        <w:rPr>
          <w:sz w:val="24"/>
          <w:szCs w:val="24"/>
        </w:rPr>
        <w:t xml:space="preserve"> resource </w:t>
      </w:r>
      <w:r w:rsidR="007370D7">
        <w:rPr>
          <w:sz w:val="24"/>
          <w:szCs w:val="24"/>
        </w:rPr>
        <w:t>in the new product</w:t>
      </w:r>
      <w:r w:rsidR="00856357">
        <w:rPr>
          <w:sz w:val="24"/>
          <w:szCs w:val="24"/>
        </w:rPr>
        <w:t xml:space="preserve"> and not just use demand response as a cost mitigation tool</w:t>
      </w:r>
      <w:r w:rsidR="007370D7">
        <w:rPr>
          <w:sz w:val="24"/>
          <w:szCs w:val="24"/>
        </w:rPr>
        <w:t>.</w:t>
      </w:r>
      <w:r w:rsidR="008D631F" w:rsidRPr="008F3E94">
        <w:rPr>
          <w:sz w:val="24"/>
          <w:szCs w:val="24"/>
        </w:rPr>
        <w:t xml:space="preserve"> </w:t>
      </w:r>
      <w:r w:rsidR="00C16302">
        <w:rPr>
          <w:sz w:val="24"/>
          <w:szCs w:val="24"/>
        </w:rPr>
        <w:t xml:space="preserve"> </w:t>
      </w:r>
    </w:p>
    <w:p w14:paraId="2CAB028E" w14:textId="17107757" w:rsidR="00BE2F93" w:rsidRDefault="00BE2F93" w:rsidP="00BE2F93">
      <w:pPr>
        <w:spacing w:line="480" w:lineRule="auto"/>
        <w:ind w:firstLine="720"/>
        <w:jc w:val="both"/>
        <w:rPr>
          <w:sz w:val="24"/>
          <w:szCs w:val="24"/>
        </w:rPr>
      </w:pPr>
      <w:r w:rsidRPr="008F3E94">
        <w:rPr>
          <w:sz w:val="24"/>
          <w:szCs w:val="24"/>
        </w:rPr>
        <w:t>Even when demand response is increased as part of the sensitivity analysis, the quantity of demand response is limited to a doubling of the current 925 MW available in the Emergency Response Service</w:t>
      </w:r>
      <w:r w:rsidR="008D631F" w:rsidRPr="008F3E94">
        <w:rPr>
          <w:sz w:val="24"/>
          <w:szCs w:val="24"/>
        </w:rPr>
        <w:t>, a small fraction of ERCOT demand</w:t>
      </w:r>
      <w:r w:rsidRPr="008F3E94">
        <w:rPr>
          <w:sz w:val="24"/>
          <w:szCs w:val="24"/>
        </w:rPr>
        <w:t>.</w:t>
      </w:r>
      <w:r w:rsidRPr="008F3E94">
        <w:rPr>
          <w:rStyle w:val="FootnoteReference"/>
          <w:sz w:val="24"/>
          <w:szCs w:val="24"/>
        </w:rPr>
        <w:footnoteReference w:id="5"/>
      </w:r>
      <w:r w:rsidR="008D631F" w:rsidRPr="008F3E94">
        <w:rPr>
          <w:sz w:val="24"/>
          <w:szCs w:val="24"/>
        </w:rPr>
        <w:t xml:space="preserve"> In previous comments, AEMA has urged the Commission to procure demand response at a minimum of five percent of peak demand.</w:t>
      </w:r>
      <w:r w:rsidR="008D631F" w:rsidRPr="008F3E94">
        <w:rPr>
          <w:rStyle w:val="FootnoteReference"/>
          <w:sz w:val="24"/>
          <w:szCs w:val="24"/>
        </w:rPr>
        <w:footnoteReference w:id="6"/>
      </w:r>
      <w:r w:rsidR="00E9634D" w:rsidRPr="008F3E94">
        <w:rPr>
          <w:sz w:val="24"/>
          <w:szCs w:val="24"/>
        </w:rPr>
        <w:t xml:space="preserve"> And</w:t>
      </w:r>
      <w:r w:rsidR="00E9634D">
        <w:rPr>
          <w:sz w:val="24"/>
          <w:szCs w:val="24"/>
        </w:rPr>
        <w:t>, as noted above, the report does not contemplate any other pathway to grow demand response, contributing to the implicit assumption that the market cap on demand response is tied to ERS and limited to less than 1 GW.</w:t>
      </w:r>
    </w:p>
    <w:p w14:paraId="6DBF09E9" w14:textId="704B93D2" w:rsidR="00E9634D" w:rsidRDefault="00E9634D" w:rsidP="00BE2F93">
      <w:pPr>
        <w:spacing w:line="480" w:lineRule="auto"/>
        <w:ind w:firstLine="720"/>
        <w:jc w:val="both"/>
        <w:rPr>
          <w:sz w:val="24"/>
          <w:szCs w:val="24"/>
        </w:rPr>
      </w:pPr>
      <w:r>
        <w:rPr>
          <w:sz w:val="24"/>
          <w:szCs w:val="24"/>
        </w:rPr>
        <w:t>The report also fails to incorporate any energy efficiency goals, measures, or programs in its analysis or its conclusions. The load forecast that is selected is based on ERCOT’s 2022 Long-Term Hourly Energy Forecast Study and</w:t>
      </w:r>
      <w:r w:rsidR="00211F9B">
        <w:rPr>
          <w:sz w:val="24"/>
          <w:szCs w:val="24"/>
        </w:rPr>
        <w:t>,</w:t>
      </w:r>
      <w:r>
        <w:rPr>
          <w:sz w:val="24"/>
          <w:szCs w:val="24"/>
        </w:rPr>
        <w:t xml:space="preserve"> while it applies some variable factors, none of them appear to be energy efficiency or conservation efforts.</w:t>
      </w:r>
      <w:r>
        <w:rPr>
          <w:rStyle w:val="FootnoteReference"/>
          <w:sz w:val="24"/>
          <w:szCs w:val="24"/>
        </w:rPr>
        <w:footnoteReference w:id="7"/>
      </w:r>
      <w:r>
        <w:rPr>
          <w:sz w:val="24"/>
          <w:szCs w:val="24"/>
        </w:rPr>
        <w:t xml:space="preserve"> </w:t>
      </w:r>
    </w:p>
    <w:p w14:paraId="1069735E" w14:textId="73942A7E" w:rsidR="00EC60B2" w:rsidRPr="007D1E3C" w:rsidRDefault="00EC60B2" w:rsidP="008F19B7">
      <w:pPr>
        <w:spacing w:line="480" w:lineRule="auto"/>
        <w:ind w:firstLine="720"/>
        <w:jc w:val="both"/>
        <w:rPr>
          <w:sz w:val="24"/>
          <w:szCs w:val="24"/>
        </w:rPr>
      </w:pPr>
      <w:r w:rsidRPr="008F3E94">
        <w:rPr>
          <w:sz w:val="24"/>
          <w:szCs w:val="24"/>
        </w:rPr>
        <w:lastRenderedPageBreak/>
        <w:t>The exclusion of these demand-side solutions skews the analysis</w:t>
      </w:r>
      <w:r w:rsidR="00E9634D" w:rsidRPr="008F3E94">
        <w:rPr>
          <w:sz w:val="24"/>
          <w:szCs w:val="24"/>
        </w:rPr>
        <w:t>, particularly the computations of system costs,</w:t>
      </w:r>
      <w:r w:rsidRPr="008F3E94">
        <w:rPr>
          <w:sz w:val="24"/>
          <w:szCs w:val="24"/>
        </w:rPr>
        <w:t xml:space="preserve"> because these resources and technologies </w:t>
      </w:r>
      <w:proofErr w:type="gramStart"/>
      <w:r w:rsidRPr="008F3E94">
        <w:rPr>
          <w:sz w:val="24"/>
          <w:szCs w:val="24"/>
        </w:rPr>
        <w:t>are capable of providing</w:t>
      </w:r>
      <w:proofErr w:type="gramEnd"/>
      <w:r w:rsidRPr="008F3E94">
        <w:rPr>
          <w:sz w:val="24"/>
          <w:szCs w:val="24"/>
        </w:rPr>
        <w:t xml:space="preserve"> grid reliability at a comparatively low cos</w:t>
      </w:r>
      <w:r w:rsidR="00E9634D" w:rsidRPr="008F3E94">
        <w:rPr>
          <w:sz w:val="24"/>
          <w:szCs w:val="24"/>
        </w:rPr>
        <w:t xml:space="preserve">t. </w:t>
      </w:r>
      <w:r w:rsidR="007D1E3C" w:rsidRPr="008F3E94">
        <w:rPr>
          <w:sz w:val="24"/>
          <w:szCs w:val="24"/>
        </w:rPr>
        <w:t>The report’s analysis of the system costs for the LSERO and FRM mechanisms forecast a reliability credit cost of $85.9/kW-</w:t>
      </w:r>
      <w:proofErr w:type="spellStart"/>
      <w:r w:rsidR="007D1E3C" w:rsidRPr="008F3E94">
        <w:rPr>
          <w:sz w:val="24"/>
          <w:szCs w:val="24"/>
        </w:rPr>
        <w:t>yr</w:t>
      </w:r>
      <w:proofErr w:type="spellEnd"/>
      <w:r w:rsidR="007D1E3C" w:rsidRPr="008F3E94">
        <w:rPr>
          <w:sz w:val="24"/>
          <w:szCs w:val="24"/>
        </w:rPr>
        <w:t>,</w:t>
      </w:r>
      <w:r w:rsidR="007D1E3C" w:rsidRPr="008F3E94">
        <w:rPr>
          <w:rStyle w:val="FootnoteReference"/>
          <w:sz w:val="24"/>
          <w:szCs w:val="24"/>
        </w:rPr>
        <w:footnoteReference w:id="8"/>
      </w:r>
      <w:r w:rsidR="007D1E3C" w:rsidRPr="008F3E94">
        <w:rPr>
          <w:sz w:val="24"/>
          <w:szCs w:val="24"/>
        </w:rPr>
        <w:t xml:space="preserve"> a value that is </w:t>
      </w:r>
      <w:r w:rsidR="007D1E3C" w:rsidRPr="008F3E94">
        <w:rPr>
          <w:i/>
          <w:iCs/>
          <w:sz w:val="24"/>
          <w:szCs w:val="24"/>
        </w:rPr>
        <w:t>higher</w:t>
      </w:r>
      <w:r w:rsidR="007D1E3C" w:rsidRPr="008F3E94">
        <w:rPr>
          <w:sz w:val="24"/>
          <w:szCs w:val="24"/>
        </w:rPr>
        <w:t xml:space="preserve"> than the Avoided Cost of Capacity used in the Energy Efficiency Implementation Project, which is $80/kW-yr.</w:t>
      </w:r>
      <w:r w:rsidR="007D1E3C" w:rsidRPr="008F3E94">
        <w:rPr>
          <w:rStyle w:val="FootnoteReference"/>
          <w:sz w:val="24"/>
          <w:szCs w:val="24"/>
        </w:rPr>
        <w:footnoteReference w:id="9"/>
      </w:r>
      <w:r w:rsidR="007D1E3C" w:rsidRPr="008F3E94">
        <w:rPr>
          <w:sz w:val="24"/>
          <w:szCs w:val="24"/>
        </w:rPr>
        <w:t xml:space="preserve"> More striking, Sierra Club brought to attention in its Petition that during the Program Year 2020, utility energy efficiency programs averaged a lifetime cost of just $11.56 per kW.</w:t>
      </w:r>
      <w:r w:rsidR="007D1E3C" w:rsidRPr="008F3E94">
        <w:rPr>
          <w:rStyle w:val="FootnoteReference"/>
          <w:sz w:val="24"/>
          <w:szCs w:val="24"/>
        </w:rPr>
        <w:footnoteReference w:id="10"/>
      </w:r>
      <w:r w:rsidR="00C16302">
        <w:rPr>
          <w:sz w:val="24"/>
          <w:szCs w:val="24"/>
        </w:rPr>
        <w:t xml:space="preserve"> </w:t>
      </w:r>
    </w:p>
    <w:p w14:paraId="041F7D30" w14:textId="362678BC" w:rsidR="007658ED" w:rsidRDefault="00534F0E" w:rsidP="008F19B7">
      <w:pPr>
        <w:spacing w:line="480" w:lineRule="auto"/>
        <w:ind w:firstLine="720"/>
        <w:jc w:val="both"/>
        <w:rPr>
          <w:sz w:val="24"/>
          <w:szCs w:val="24"/>
        </w:rPr>
      </w:pPr>
      <w:r>
        <w:rPr>
          <w:sz w:val="24"/>
          <w:szCs w:val="24"/>
        </w:rPr>
        <w:t xml:space="preserve">Irrespective </w:t>
      </w:r>
      <w:r w:rsidR="00EC60B2">
        <w:rPr>
          <w:sz w:val="24"/>
          <w:szCs w:val="24"/>
        </w:rPr>
        <w:t xml:space="preserve">of the market design selected by the Commission, </w:t>
      </w:r>
      <w:r>
        <w:rPr>
          <w:sz w:val="24"/>
          <w:szCs w:val="24"/>
        </w:rPr>
        <w:t>due to the lack of</w:t>
      </w:r>
      <w:r w:rsidR="00983E05">
        <w:rPr>
          <w:sz w:val="24"/>
          <w:szCs w:val="24"/>
        </w:rPr>
        <w:t xml:space="preserve"> </w:t>
      </w:r>
      <w:r w:rsidR="007D1E3C">
        <w:rPr>
          <w:sz w:val="24"/>
          <w:szCs w:val="24"/>
        </w:rPr>
        <w:t>meaningful consideration of demand-side resources</w:t>
      </w:r>
      <w:r w:rsidR="00F274C8">
        <w:rPr>
          <w:sz w:val="24"/>
          <w:szCs w:val="24"/>
        </w:rPr>
        <w:t>,</w:t>
      </w:r>
      <w:r w:rsidR="007D1E3C">
        <w:rPr>
          <w:sz w:val="24"/>
          <w:szCs w:val="24"/>
        </w:rPr>
        <w:t xml:space="preserve"> </w:t>
      </w:r>
      <w:r w:rsidR="00EC60B2">
        <w:rPr>
          <w:sz w:val="24"/>
          <w:szCs w:val="24"/>
        </w:rPr>
        <w:t xml:space="preserve">we urge the Commission to commit to </w:t>
      </w:r>
      <w:r w:rsidR="007D1E3C">
        <w:rPr>
          <w:sz w:val="24"/>
          <w:szCs w:val="24"/>
        </w:rPr>
        <w:t xml:space="preserve">and prioritize </w:t>
      </w:r>
      <w:r w:rsidR="00EC60B2">
        <w:rPr>
          <w:sz w:val="24"/>
          <w:szCs w:val="24"/>
        </w:rPr>
        <w:t>the following additional actions</w:t>
      </w:r>
      <w:r w:rsidR="007D1E3C">
        <w:rPr>
          <w:sz w:val="24"/>
          <w:szCs w:val="24"/>
        </w:rPr>
        <w:t>:</w:t>
      </w:r>
    </w:p>
    <w:p w14:paraId="04311800" w14:textId="5B9FDF5E" w:rsidR="00184932" w:rsidRPr="001B14E4" w:rsidRDefault="00184932" w:rsidP="007D1E3C">
      <w:pPr>
        <w:pStyle w:val="ListParagraph"/>
        <w:numPr>
          <w:ilvl w:val="0"/>
          <w:numId w:val="7"/>
        </w:numPr>
        <w:spacing w:line="480" w:lineRule="auto"/>
        <w:jc w:val="both"/>
        <w:rPr>
          <w:sz w:val="24"/>
          <w:szCs w:val="24"/>
        </w:rPr>
      </w:pPr>
      <w:r>
        <w:rPr>
          <w:sz w:val="24"/>
          <w:szCs w:val="24"/>
        </w:rPr>
        <w:t xml:space="preserve">Include in any resolution adopting </w:t>
      </w:r>
      <w:r w:rsidR="00A65E3D">
        <w:rPr>
          <w:sz w:val="24"/>
          <w:szCs w:val="24"/>
        </w:rPr>
        <w:t xml:space="preserve">market </w:t>
      </w:r>
      <w:r w:rsidR="00F274C8">
        <w:rPr>
          <w:sz w:val="24"/>
          <w:szCs w:val="24"/>
        </w:rPr>
        <w:t xml:space="preserve">design </w:t>
      </w:r>
      <w:r w:rsidR="00A65E3D">
        <w:rPr>
          <w:sz w:val="24"/>
          <w:szCs w:val="24"/>
        </w:rPr>
        <w:t xml:space="preserve">changes </w:t>
      </w:r>
      <w:r w:rsidR="00211F9B">
        <w:rPr>
          <w:sz w:val="24"/>
          <w:szCs w:val="24"/>
        </w:rPr>
        <w:t xml:space="preserve">a directive </w:t>
      </w:r>
      <w:r w:rsidR="00A65E3D">
        <w:rPr>
          <w:sz w:val="24"/>
          <w:szCs w:val="24"/>
        </w:rPr>
        <w:t xml:space="preserve">that any resources capable of providing new services will be eligible to participate, including demand resources.  </w:t>
      </w:r>
    </w:p>
    <w:p w14:paraId="46754210" w14:textId="252A7F34" w:rsidR="007D1E3C" w:rsidRDefault="007D1E3C" w:rsidP="007D1E3C">
      <w:pPr>
        <w:pStyle w:val="ListParagraph"/>
        <w:numPr>
          <w:ilvl w:val="0"/>
          <w:numId w:val="7"/>
        </w:numPr>
        <w:spacing w:line="480" w:lineRule="auto"/>
        <w:jc w:val="both"/>
        <w:rPr>
          <w:sz w:val="24"/>
          <w:szCs w:val="24"/>
        </w:rPr>
      </w:pPr>
      <w:r>
        <w:rPr>
          <w:sz w:val="24"/>
          <w:szCs w:val="24"/>
        </w:rPr>
        <w:t>Clarify how demand response will be able to participate as a market-integrated resource in the new market design and expediently develop appropriate participation models.</w:t>
      </w:r>
    </w:p>
    <w:p w14:paraId="6045BC77" w14:textId="4801AE51" w:rsidR="007D1E3C" w:rsidRDefault="00347276" w:rsidP="007D1E3C">
      <w:pPr>
        <w:pStyle w:val="ListParagraph"/>
        <w:numPr>
          <w:ilvl w:val="0"/>
          <w:numId w:val="7"/>
        </w:numPr>
        <w:spacing w:line="480" w:lineRule="auto"/>
        <w:jc w:val="both"/>
        <w:rPr>
          <w:sz w:val="24"/>
          <w:szCs w:val="24"/>
        </w:rPr>
      </w:pPr>
      <w:r>
        <w:rPr>
          <w:sz w:val="24"/>
          <w:szCs w:val="24"/>
        </w:rPr>
        <w:t>Set a peak demand goal and energy savings target to spur the development of additional cost-effective demand response and energy efficiency resources.</w:t>
      </w:r>
    </w:p>
    <w:p w14:paraId="6533D086" w14:textId="611F6ABA" w:rsidR="006A40CB" w:rsidRPr="005447CA" w:rsidRDefault="00097B3C" w:rsidP="002549F8">
      <w:pPr>
        <w:pStyle w:val="ListParagraph"/>
        <w:numPr>
          <w:ilvl w:val="0"/>
          <w:numId w:val="7"/>
        </w:numPr>
        <w:spacing w:line="480" w:lineRule="auto"/>
        <w:rPr>
          <w:sz w:val="24"/>
          <w:szCs w:val="24"/>
        </w:rPr>
      </w:pPr>
      <w:r w:rsidRPr="00097B3C">
        <w:rPr>
          <w:sz w:val="24"/>
          <w:szCs w:val="24"/>
        </w:rPr>
        <w:t>If PCM is adopted, a seasonal or more granular approach should be pursued</w:t>
      </w:r>
      <w:r w:rsidR="004214BE">
        <w:rPr>
          <w:sz w:val="24"/>
          <w:szCs w:val="24"/>
        </w:rPr>
        <w:t xml:space="preserve">.  </w:t>
      </w:r>
      <w:r w:rsidR="004214BE" w:rsidRPr="00B47CFB">
        <w:rPr>
          <w:sz w:val="24"/>
          <w:szCs w:val="24"/>
        </w:rPr>
        <w:t>S</w:t>
      </w:r>
      <w:r w:rsidR="00741EA3" w:rsidRPr="00B47CFB">
        <w:rPr>
          <w:sz w:val="24"/>
          <w:szCs w:val="24"/>
        </w:rPr>
        <w:t xml:space="preserve">horter </w:t>
      </w:r>
      <w:r w:rsidR="004214BE" w:rsidRPr="00B47CFB">
        <w:rPr>
          <w:sz w:val="24"/>
          <w:szCs w:val="24"/>
        </w:rPr>
        <w:t xml:space="preserve">periods will not eliminate </w:t>
      </w:r>
      <w:r w:rsidR="00EC5312" w:rsidRPr="00B47CFB">
        <w:rPr>
          <w:sz w:val="24"/>
          <w:szCs w:val="24"/>
        </w:rPr>
        <w:t xml:space="preserve">significant </w:t>
      </w:r>
      <w:r w:rsidR="004214BE" w:rsidRPr="00B47CFB">
        <w:rPr>
          <w:sz w:val="24"/>
          <w:szCs w:val="24"/>
        </w:rPr>
        <w:t xml:space="preserve">risks discussed </w:t>
      </w:r>
      <w:r w:rsidR="00B47CFB" w:rsidRPr="00B47CFB">
        <w:rPr>
          <w:sz w:val="24"/>
          <w:szCs w:val="24"/>
        </w:rPr>
        <w:t>below but</w:t>
      </w:r>
      <w:r w:rsidRPr="00B47CFB">
        <w:rPr>
          <w:sz w:val="24"/>
          <w:szCs w:val="24"/>
        </w:rPr>
        <w:t xml:space="preserve"> </w:t>
      </w:r>
      <w:r w:rsidR="004214BE" w:rsidRPr="00B47CFB">
        <w:rPr>
          <w:sz w:val="24"/>
          <w:szCs w:val="24"/>
        </w:rPr>
        <w:t>could help</w:t>
      </w:r>
      <w:r w:rsidR="00FA4D90" w:rsidRPr="00B47CFB">
        <w:rPr>
          <w:sz w:val="24"/>
          <w:szCs w:val="24"/>
        </w:rPr>
        <w:t xml:space="preserve"> reduce</w:t>
      </w:r>
      <w:r w:rsidR="004214BE">
        <w:rPr>
          <w:sz w:val="24"/>
          <w:szCs w:val="24"/>
        </w:rPr>
        <w:t xml:space="preserve"> </w:t>
      </w:r>
      <w:r w:rsidRPr="00097B3C">
        <w:rPr>
          <w:sz w:val="24"/>
          <w:szCs w:val="24"/>
        </w:rPr>
        <w:t xml:space="preserve">the </w:t>
      </w:r>
      <w:r w:rsidRPr="00097B3C">
        <w:rPr>
          <w:sz w:val="24"/>
          <w:szCs w:val="24"/>
        </w:rPr>
        <w:lastRenderedPageBreak/>
        <w:t>commercial impracticability of settling charges significantly in arrears of when they are provided and consumed.</w:t>
      </w:r>
    </w:p>
    <w:p w14:paraId="099BEA96" w14:textId="3502556E" w:rsidR="005C46D3" w:rsidRPr="00741EA3" w:rsidRDefault="00347276" w:rsidP="00741EA3">
      <w:pPr>
        <w:spacing w:line="480" w:lineRule="auto"/>
        <w:ind w:firstLine="720"/>
        <w:jc w:val="both"/>
        <w:rPr>
          <w:sz w:val="24"/>
          <w:szCs w:val="24"/>
        </w:rPr>
      </w:pPr>
      <w:r>
        <w:rPr>
          <w:sz w:val="24"/>
          <w:szCs w:val="24"/>
        </w:rPr>
        <w:t xml:space="preserve">We believe these actions deserve prioritization because demand-side resources can provide immediate grid reliability support. The new market design </w:t>
      </w:r>
      <w:r w:rsidR="00DA39F6">
        <w:rPr>
          <w:sz w:val="24"/>
          <w:szCs w:val="24"/>
        </w:rPr>
        <w:t xml:space="preserve">is expected to </w:t>
      </w:r>
      <w:r>
        <w:rPr>
          <w:sz w:val="24"/>
          <w:szCs w:val="24"/>
        </w:rPr>
        <w:t>take years to develop and implement, and</w:t>
      </w:r>
      <w:r w:rsidR="00211F9B">
        <w:rPr>
          <w:sz w:val="24"/>
          <w:szCs w:val="24"/>
        </w:rPr>
        <w:t xml:space="preserve"> possibly even longer to successfully incentivize investment in new generation resources. A</w:t>
      </w:r>
      <w:r>
        <w:rPr>
          <w:sz w:val="24"/>
          <w:szCs w:val="24"/>
        </w:rPr>
        <w:t>s an interim step</w:t>
      </w:r>
      <w:r w:rsidR="00DA39F6">
        <w:rPr>
          <w:sz w:val="24"/>
          <w:szCs w:val="24"/>
        </w:rPr>
        <w:t>,</w:t>
      </w:r>
      <w:r>
        <w:rPr>
          <w:sz w:val="24"/>
          <w:szCs w:val="24"/>
        </w:rPr>
        <w:t xml:space="preserve"> the Commission should seek to support the rapid deployment of </w:t>
      </w:r>
      <w:r w:rsidR="00983E05">
        <w:rPr>
          <w:sz w:val="24"/>
          <w:szCs w:val="24"/>
        </w:rPr>
        <w:t xml:space="preserve">additional </w:t>
      </w:r>
      <w:r>
        <w:rPr>
          <w:sz w:val="24"/>
          <w:szCs w:val="24"/>
        </w:rPr>
        <w:t>demand response and energy efficiency.</w:t>
      </w:r>
    </w:p>
    <w:p w14:paraId="43A2656F" w14:textId="77777777" w:rsidR="00741EA3" w:rsidRDefault="00741EA3" w:rsidP="00741EA3">
      <w:pPr>
        <w:jc w:val="center"/>
        <w:rPr>
          <w:b/>
          <w:sz w:val="24"/>
          <w:szCs w:val="24"/>
        </w:rPr>
      </w:pPr>
    </w:p>
    <w:p w14:paraId="00000027" w14:textId="7BA9FED7" w:rsidR="006864CF" w:rsidRDefault="007C5C8E" w:rsidP="00741EA3">
      <w:pPr>
        <w:jc w:val="center"/>
        <w:rPr>
          <w:b/>
          <w:sz w:val="24"/>
          <w:szCs w:val="24"/>
        </w:rPr>
      </w:pPr>
      <w:r w:rsidRPr="00D661BF">
        <w:rPr>
          <w:b/>
          <w:sz w:val="24"/>
          <w:szCs w:val="24"/>
        </w:rPr>
        <w:t>Comments</w:t>
      </w:r>
    </w:p>
    <w:p w14:paraId="56AE66C9" w14:textId="77777777" w:rsidR="00741EA3" w:rsidRPr="00D661BF" w:rsidRDefault="00741EA3" w:rsidP="00741EA3">
      <w:pPr>
        <w:jc w:val="center"/>
        <w:rPr>
          <w:b/>
          <w:sz w:val="24"/>
          <w:szCs w:val="24"/>
        </w:rPr>
      </w:pPr>
    </w:p>
    <w:p w14:paraId="00F3EA8D" w14:textId="5C4DFE31" w:rsidR="005E1657" w:rsidRPr="008F3E94" w:rsidRDefault="00347276" w:rsidP="005E1657">
      <w:pPr>
        <w:pStyle w:val="ListParagraph"/>
        <w:numPr>
          <w:ilvl w:val="0"/>
          <w:numId w:val="5"/>
        </w:numPr>
        <w:pBdr>
          <w:top w:val="nil"/>
          <w:left w:val="nil"/>
          <w:bottom w:val="nil"/>
          <w:right w:val="nil"/>
          <w:between w:val="nil"/>
          <w:bar w:val="nil"/>
        </w:pBdr>
        <w:contextualSpacing w:val="0"/>
        <w:rPr>
          <w:b/>
          <w:bCs/>
          <w:sz w:val="24"/>
          <w:szCs w:val="24"/>
        </w:rPr>
      </w:pPr>
      <w:r w:rsidRPr="008F3E94">
        <w:rPr>
          <w:b/>
          <w:bCs/>
          <w:sz w:val="24"/>
          <w:szCs w:val="24"/>
        </w:rPr>
        <w:t>The E3</w:t>
      </w:r>
      <w:r w:rsidR="00E10AE9">
        <w:rPr>
          <w:b/>
          <w:bCs/>
          <w:sz w:val="24"/>
          <w:szCs w:val="24"/>
        </w:rPr>
        <w:t>’</w:t>
      </w:r>
      <w:r w:rsidRPr="008F3E94">
        <w:rPr>
          <w:b/>
          <w:bCs/>
          <w:sz w:val="24"/>
          <w:szCs w:val="24"/>
        </w:rPr>
        <w:t>s report observes that the Performance Credit Mechanism (PCM) has no prior precedent for implementation, does this fact present a significant obstacle to its operation for the ERCOT market?</w:t>
      </w:r>
      <w:r w:rsidR="005E1657" w:rsidRPr="008F3E94">
        <w:rPr>
          <w:rStyle w:val="PageNumber"/>
          <w:b/>
          <w:bCs/>
          <w:sz w:val="24"/>
          <w:szCs w:val="24"/>
        </w:rPr>
        <w:t xml:space="preserve"> </w:t>
      </w:r>
    </w:p>
    <w:p w14:paraId="00000049" w14:textId="77777777" w:rsidR="006864CF" w:rsidRPr="008F3E94" w:rsidRDefault="006864CF">
      <w:pPr>
        <w:jc w:val="both"/>
        <w:rPr>
          <w:sz w:val="24"/>
          <w:szCs w:val="24"/>
        </w:rPr>
      </w:pPr>
    </w:p>
    <w:p w14:paraId="28858F1F" w14:textId="02FF4C42" w:rsidR="00352A3D" w:rsidRPr="001A7066" w:rsidRDefault="004E5053" w:rsidP="00347276">
      <w:pPr>
        <w:spacing w:line="480" w:lineRule="auto"/>
        <w:ind w:firstLine="720"/>
        <w:jc w:val="both"/>
        <w:rPr>
          <w:sz w:val="24"/>
          <w:szCs w:val="24"/>
        </w:rPr>
      </w:pPr>
      <w:r w:rsidRPr="008F3E94">
        <w:rPr>
          <w:sz w:val="24"/>
          <w:szCs w:val="24"/>
        </w:rPr>
        <w:t xml:space="preserve">AEMA </w:t>
      </w:r>
      <w:r w:rsidR="00347276" w:rsidRPr="008F3E94">
        <w:rPr>
          <w:sz w:val="24"/>
          <w:szCs w:val="24"/>
        </w:rPr>
        <w:t>believes that there is a risk in adopting any novel market design because the design inherently has not been tested</w:t>
      </w:r>
      <w:r w:rsidR="00D9463F" w:rsidRPr="008F3E94">
        <w:rPr>
          <w:sz w:val="24"/>
          <w:szCs w:val="24"/>
        </w:rPr>
        <w:t>.</w:t>
      </w:r>
      <w:r w:rsidR="00347276" w:rsidRPr="008F3E94">
        <w:rPr>
          <w:sz w:val="24"/>
          <w:szCs w:val="24"/>
        </w:rPr>
        <w:t xml:space="preserve"> However, the PCM has the potential to carry additional risk because of the core element of its design: the </w:t>
      </w:r>
      <w:r w:rsidR="00352A3D" w:rsidRPr="008F3E94">
        <w:rPr>
          <w:sz w:val="24"/>
          <w:szCs w:val="24"/>
        </w:rPr>
        <w:t>retroactive settlement process. This creates levels of uncertainty, especially at the initial launch of the market when retailers must try and forecast their</w:t>
      </w:r>
      <w:r w:rsidR="00352A3D">
        <w:rPr>
          <w:sz w:val="24"/>
          <w:szCs w:val="24"/>
        </w:rPr>
        <w:t xml:space="preserve"> credit needs based on yet-to-occur grid conditions and generators must try and develop a reasonable credit </w:t>
      </w:r>
      <w:r w:rsidR="005C4593">
        <w:rPr>
          <w:sz w:val="24"/>
          <w:szCs w:val="24"/>
        </w:rPr>
        <w:t xml:space="preserve">valuation without any </w:t>
      </w:r>
      <w:r w:rsidR="00A83370">
        <w:rPr>
          <w:sz w:val="24"/>
          <w:szCs w:val="24"/>
        </w:rPr>
        <w:t>prior experience</w:t>
      </w:r>
      <w:r w:rsidR="005C4593">
        <w:rPr>
          <w:sz w:val="24"/>
          <w:szCs w:val="24"/>
        </w:rPr>
        <w:t>.</w:t>
      </w:r>
      <w:r w:rsidR="00FD49EA">
        <w:rPr>
          <w:sz w:val="24"/>
          <w:szCs w:val="24"/>
        </w:rPr>
        <w:t xml:space="preserve"> </w:t>
      </w:r>
      <w:r w:rsidR="00534F0E">
        <w:rPr>
          <w:sz w:val="24"/>
          <w:szCs w:val="24"/>
        </w:rPr>
        <w:t>AEMA recommends that</w:t>
      </w:r>
      <w:r w:rsidR="00E10AE9">
        <w:rPr>
          <w:sz w:val="24"/>
          <w:szCs w:val="24"/>
        </w:rPr>
        <w:t>,</w:t>
      </w:r>
      <w:r w:rsidR="00534F0E">
        <w:rPr>
          <w:sz w:val="24"/>
          <w:szCs w:val="24"/>
        </w:rPr>
        <w:t xml:space="preserve"> if </w:t>
      </w:r>
      <w:r w:rsidR="00E10AE9">
        <w:rPr>
          <w:sz w:val="24"/>
          <w:szCs w:val="24"/>
        </w:rPr>
        <w:t xml:space="preserve">the </w:t>
      </w:r>
      <w:r w:rsidR="00534F0E">
        <w:rPr>
          <w:sz w:val="24"/>
          <w:szCs w:val="24"/>
        </w:rPr>
        <w:t xml:space="preserve">PCM </w:t>
      </w:r>
      <w:r w:rsidR="00E10AE9">
        <w:rPr>
          <w:sz w:val="24"/>
          <w:szCs w:val="24"/>
        </w:rPr>
        <w:t xml:space="preserve">proposal </w:t>
      </w:r>
      <w:r w:rsidR="00534F0E">
        <w:rPr>
          <w:sz w:val="24"/>
          <w:szCs w:val="24"/>
        </w:rPr>
        <w:t>or other major market redesigns are implemented</w:t>
      </w:r>
      <w:r w:rsidR="00E10AE9">
        <w:rPr>
          <w:sz w:val="24"/>
          <w:szCs w:val="24"/>
        </w:rPr>
        <w:t xml:space="preserve">, in addition to a robust </w:t>
      </w:r>
      <w:r w:rsidR="00532A07">
        <w:rPr>
          <w:sz w:val="24"/>
          <w:szCs w:val="24"/>
        </w:rPr>
        <w:t xml:space="preserve">and transparent </w:t>
      </w:r>
      <w:r w:rsidR="00E10AE9">
        <w:rPr>
          <w:sz w:val="24"/>
          <w:szCs w:val="24"/>
        </w:rPr>
        <w:t xml:space="preserve">analysis of how </w:t>
      </w:r>
      <w:r w:rsidR="00532A07">
        <w:rPr>
          <w:sz w:val="24"/>
          <w:szCs w:val="24"/>
        </w:rPr>
        <w:t xml:space="preserve">the market design(s) </w:t>
      </w:r>
      <w:r w:rsidR="00E10AE9">
        <w:rPr>
          <w:sz w:val="24"/>
          <w:szCs w:val="24"/>
        </w:rPr>
        <w:t xml:space="preserve">would have impacted the </w:t>
      </w:r>
      <w:r w:rsidR="00532A07">
        <w:rPr>
          <w:sz w:val="24"/>
          <w:szCs w:val="24"/>
        </w:rPr>
        <w:t xml:space="preserve">ERCOT </w:t>
      </w:r>
      <w:r w:rsidR="00E10AE9">
        <w:rPr>
          <w:sz w:val="24"/>
          <w:szCs w:val="24"/>
        </w:rPr>
        <w:t xml:space="preserve">market using historic ERCOT data, </w:t>
      </w:r>
      <w:r w:rsidR="00534F0E">
        <w:rPr>
          <w:sz w:val="24"/>
          <w:szCs w:val="24"/>
        </w:rPr>
        <w:t xml:space="preserve">a financially non-binding procurement be run to promote transparency around the market design’s mechanics. </w:t>
      </w:r>
    </w:p>
    <w:p w14:paraId="61710AF0" w14:textId="5822BA48" w:rsidR="00977068" w:rsidRDefault="00352A3D" w:rsidP="00347276">
      <w:pPr>
        <w:spacing w:line="480" w:lineRule="auto"/>
        <w:ind w:firstLine="720"/>
        <w:jc w:val="both"/>
        <w:rPr>
          <w:sz w:val="24"/>
          <w:szCs w:val="24"/>
        </w:rPr>
      </w:pPr>
      <w:r>
        <w:rPr>
          <w:sz w:val="24"/>
          <w:szCs w:val="24"/>
        </w:rPr>
        <w:t xml:space="preserve">Demand response is well-suited to provide availability during the exact hours where reliability risk occurs. However, the </w:t>
      </w:r>
      <w:r>
        <w:rPr>
          <w:i/>
          <w:iCs/>
          <w:sz w:val="24"/>
          <w:szCs w:val="24"/>
        </w:rPr>
        <w:t>value</w:t>
      </w:r>
      <w:r>
        <w:rPr>
          <w:sz w:val="24"/>
          <w:szCs w:val="24"/>
        </w:rPr>
        <w:t xml:space="preserve"> of the resource seems likely to fluctuate</w:t>
      </w:r>
      <w:r w:rsidR="00D9463F">
        <w:rPr>
          <w:sz w:val="24"/>
          <w:szCs w:val="24"/>
        </w:rPr>
        <w:t xml:space="preserve"> </w:t>
      </w:r>
      <w:r>
        <w:rPr>
          <w:sz w:val="24"/>
          <w:szCs w:val="24"/>
        </w:rPr>
        <w:t xml:space="preserve">year to year depending on </w:t>
      </w:r>
      <w:proofErr w:type="gramStart"/>
      <w:r>
        <w:rPr>
          <w:sz w:val="24"/>
          <w:szCs w:val="24"/>
        </w:rPr>
        <w:t>a number of</w:t>
      </w:r>
      <w:proofErr w:type="gramEnd"/>
      <w:r>
        <w:rPr>
          <w:sz w:val="24"/>
          <w:szCs w:val="24"/>
        </w:rPr>
        <w:t xml:space="preserve"> factors such as the clearing price in the forward market, the level of </w:t>
      </w:r>
      <w:r>
        <w:rPr>
          <w:sz w:val="24"/>
          <w:szCs w:val="24"/>
        </w:rPr>
        <w:lastRenderedPageBreak/>
        <w:t>supply needed during the hours of highest reliability risk, and the causes of the reliability risk events (</w:t>
      </w:r>
      <w:r w:rsidRPr="001B14E4">
        <w:rPr>
          <w:i/>
          <w:iCs/>
          <w:sz w:val="24"/>
          <w:szCs w:val="24"/>
        </w:rPr>
        <w:t>e.g.</w:t>
      </w:r>
      <w:r w:rsidR="00A83370">
        <w:rPr>
          <w:i/>
          <w:iCs/>
          <w:sz w:val="24"/>
          <w:szCs w:val="24"/>
        </w:rPr>
        <w:t>,</w:t>
      </w:r>
      <w:r>
        <w:rPr>
          <w:sz w:val="24"/>
          <w:szCs w:val="24"/>
        </w:rPr>
        <w:t xml:space="preserve"> extreme weather versus generator outage). In addition, because settlement will occur retroactively, the value of the DR resource will not be realized possibly for months. This design runs against how customers often wish to participate in demand response programs – with a clear understanding of the value proposition. </w:t>
      </w:r>
    </w:p>
    <w:p w14:paraId="47514654" w14:textId="38CD57E1" w:rsidR="00977068" w:rsidRDefault="00977068">
      <w:pPr>
        <w:rPr>
          <w:sz w:val="24"/>
          <w:szCs w:val="24"/>
        </w:rPr>
      </w:pPr>
    </w:p>
    <w:p w14:paraId="12D27463" w14:textId="512E7B25" w:rsidR="005C4593" w:rsidRDefault="005C4593" w:rsidP="005C4593">
      <w:pPr>
        <w:pStyle w:val="ListParagraph"/>
        <w:numPr>
          <w:ilvl w:val="0"/>
          <w:numId w:val="5"/>
        </w:numPr>
        <w:pBdr>
          <w:top w:val="nil"/>
          <w:left w:val="nil"/>
          <w:bottom w:val="nil"/>
          <w:right w:val="nil"/>
          <w:between w:val="nil"/>
          <w:bar w:val="nil"/>
        </w:pBdr>
        <w:contextualSpacing w:val="0"/>
        <w:rPr>
          <w:b/>
          <w:bCs/>
          <w:sz w:val="24"/>
          <w:szCs w:val="24"/>
        </w:rPr>
      </w:pPr>
      <w:r w:rsidRPr="005C4593">
        <w:rPr>
          <w:b/>
          <w:bCs/>
          <w:sz w:val="24"/>
          <w:szCs w:val="24"/>
        </w:rPr>
        <w:t>Would the PCM design incentivize generation performance, retention, and market entry consistent with the Legislature's and the commission's goal to meet demand during times of net peak load and extreme power consumption conditions? Why or why not?</w:t>
      </w:r>
    </w:p>
    <w:p w14:paraId="7F3710AE" w14:textId="7523BF29" w:rsidR="005C4593" w:rsidRDefault="005C4593" w:rsidP="005C4593">
      <w:pPr>
        <w:pBdr>
          <w:top w:val="nil"/>
          <w:left w:val="nil"/>
          <w:bottom w:val="nil"/>
          <w:right w:val="nil"/>
          <w:between w:val="nil"/>
          <w:bar w:val="nil"/>
        </w:pBdr>
        <w:rPr>
          <w:b/>
          <w:bCs/>
          <w:sz w:val="24"/>
          <w:szCs w:val="24"/>
        </w:rPr>
      </w:pPr>
    </w:p>
    <w:p w14:paraId="77697C54" w14:textId="149202A2" w:rsidR="005C4593" w:rsidRPr="005C4593" w:rsidRDefault="005C4593" w:rsidP="008F3E94">
      <w:pPr>
        <w:spacing w:line="480" w:lineRule="auto"/>
        <w:ind w:firstLine="720"/>
        <w:jc w:val="both"/>
        <w:rPr>
          <w:sz w:val="24"/>
          <w:szCs w:val="24"/>
        </w:rPr>
      </w:pPr>
      <w:r w:rsidRPr="008F3E94">
        <w:rPr>
          <w:sz w:val="24"/>
          <w:szCs w:val="24"/>
        </w:rPr>
        <w:t>The PCM market design should include specific demand response resource types that best reflect the capabilities of these resources. Presently, the most meaningful ERCOT-integrated market for demand response is the ERS</w:t>
      </w:r>
      <w:r w:rsidR="00532A07">
        <w:rPr>
          <w:sz w:val="24"/>
          <w:szCs w:val="24"/>
        </w:rPr>
        <w:t xml:space="preserve"> program</w:t>
      </w:r>
      <w:r w:rsidRPr="008F3E94">
        <w:rPr>
          <w:sz w:val="24"/>
          <w:szCs w:val="24"/>
        </w:rPr>
        <w:t>. However, as AEMA has stated in previous comments, there are multiple ways ERS can be improved to make it more available to DR resources.</w:t>
      </w:r>
      <w:r w:rsidRPr="008F3E94">
        <w:rPr>
          <w:rStyle w:val="FootnoteReference"/>
          <w:sz w:val="24"/>
          <w:szCs w:val="24"/>
        </w:rPr>
        <w:footnoteReference w:id="11"/>
      </w:r>
      <w:r w:rsidRPr="008F3E94">
        <w:rPr>
          <w:sz w:val="24"/>
          <w:szCs w:val="24"/>
        </w:rPr>
        <w:t xml:space="preserve"> In addition, the Commission can continue to explore additional ways that </w:t>
      </w:r>
      <w:r w:rsidR="004D2E72" w:rsidRPr="008F3E94">
        <w:rPr>
          <w:sz w:val="24"/>
          <w:szCs w:val="24"/>
        </w:rPr>
        <w:t>DERs are able to directly interface with ERCOT, such as expanding the work of the ADER Task Force.</w:t>
      </w:r>
      <w:r w:rsidR="00FD49EA">
        <w:rPr>
          <w:sz w:val="24"/>
          <w:szCs w:val="24"/>
        </w:rPr>
        <w:t xml:space="preserve"> </w:t>
      </w:r>
    </w:p>
    <w:p w14:paraId="67A8AC7C" w14:textId="77777777" w:rsidR="005C4593" w:rsidRPr="005C4593" w:rsidRDefault="005C4593" w:rsidP="005C4593">
      <w:pPr>
        <w:pBdr>
          <w:top w:val="nil"/>
          <w:left w:val="nil"/>
          <w:bottom w:val="nil"/>
          <w:right w:val="nil"/>
          <w:between w:val="nil"/>
          <w:bar w:val="nil"/>
        </w:pBdr>
        <w:rPr>
          <w:b/>
          <w:bCs/>
          <w:sz w:val="24"/>
          <w:szCs w:val="24"/>
        </w:rPr>
      </w:pPr>
    </w:p>
    <w:p w14:paraId="30C8D984" w14:textId="25A5804B" w:rsidR="005C4593" w:rsidRPr="002C18D3" w:rsidRDefault="005C4593" w:rsidP="002C18D3">
      <w:pPr>
        <w:pStyle w:val="ListParagraph"/>
        <w:numPr>
          <w:ilvl w:val="0"/>
          <w:numId w:val="12"/>
        </w:numPr>
        <w:pBdr>
          <w:top w:val="nil"/>
          <w:left w:val="nil"/>
          <w:bottom w:val="nil"/>
          <w:right w:val="nil"/>
          <w:between w:val="nil"/>
          <w:bar w:val="nil"/>
        </w:pBdr>
        <w:contextualSpacing w:val="0"/>
        <w:rPr>
          <w:b/>
          <w:bCs/>
          <w:sz w:val="24"/>
          <w:szCs w:val="24"/>
        </w:rPr>
      </w:pPr>
      <w:r w:rsidRPr="002C18D3">
        <w:rPr>
          <w:b/>
          <w:bCs/>
          <w:sz w:val="24"/>
          <w:szCs w:val="24"/>
        </w:rPr>
        <w:t>Over what period should the hours of highest reliability risk be determined? A year, a season, a month, or some other interval? At what point in time should that determination be made?</w:t>
      </w:r>
    </w:p>
    <w:p w14:paraId="0650F287" w14:textId="1FFBDD17" w:rsidR="004D2E72" w:rsidRDefault="004D2E72" w:rsidP="004D2E72">
      <w:pPr>
        <w:pBdr>
          <w:top w:val="nil"/>
          <w:left w:val="nil"/>
          <w:bottom w:val="nil"/>
          <w:right w:val="nil"/>
          <w:between w:val="nil"/>
          <w:bar w:val="nil"/>
        </w:pBdr>
        <w:rPr>
          <w:b/>
          <w:bCs/>
          <w:sz w:val="24"/>
          <w:szCs w:val="24"/>
        </w:rPr>
      </w:pPr>
    </w:p>
    <w:p w14:paraId="0539B17F" w14:textId="2570BB1C" w:rsidR="00A65E3D" w:rsidRPr="004D2E72" w:rsidRDefault="004D2E72" w:rsidP="00EA13C6">
      <w:pPr>
        <w:spacing w:line="480" w:lineRule="auto"/>
        <w:ind w:firstLine="720"/>
        <w:jc w:val="both"/>
        <w:rPr>
          <w:sz w:val="24"/>
          <w:szCs w:val="24"/>
        </w:rPr>
      </w:pPr>
      <w:r>
        <w:rPr>
          <w:sz w:val="24"/>
          <w:szCs w:val="24"/>
        </w:rPr>
        <w:t>The reliability risk should be calculated at least on a seasonal basis, if not more frequent</w:t>
      </w:r>
      <w:r w:rsidR="00725A07">
        <w:rPr>
          <w:sz w:val="24"/>
          <w:szCs w:val="24"/>
        </w:rPr>
        <w:t>ly</w:t>
      </w:r>
      <w:r>
        <w:rPr>
          <w:sz w:val="24"/>
          <w:szCs w:val="24"/>
        </w:rPr>
        <w:t>. While not eliminating the risk discussed in AEMA’s response to Question 1,</w:t>
      </w:r>
      <w:r w:rsidR="00EB4F2C">
        <w:rPr>
          <w:sz w:val="24"/>
          <w:szCs w:val="24"/>
        </w:rPr>
        <w:t xml:space="preserve"> shorter periods </w:t>
      </w:r>
      <w:r>
        <w:rPr>
          <w:sz w:val="24"/>
          <w:szCs w:val="24"/>
        </w:rPr>
        <w:t xml:space="preserve">will help mitigate </w:t>
      </w:r>
      <w:r w:rsidR="00EB4F2C">
        <w:rPr>
          <w:sz w:val="24"/>
          <w:szCs w:val="24"/>
        </w:rPr>
        <w:t>some of the uncertainty inherent in the PCM proposal</w:t>
      </w:r>
      <w:r w:rsidR="000642EE">
        <w:rPr>
          <w:sz w:val="24"/>
          <w:szCs w:val="24"/>
        </w:rPr>
        <w:t xml:space="preserve">.  </w:t>
      </w:r>
      <w:r w:rsidR="00534F0E">
        <w:rPr>
          <w:sz w:val="24"/>
          <w:szCs w:val="24"/>
        </w:rPr>
        <w:t xml:space="preserve">ERS has had success with </w:t>
      </w:r>
      <w:r w:rsidR="00AB7A44">
        <w:rPr>
          <w:sz w:val="24"/>
          <w:szCs w:val="24"/>
        </w:rPr>
        <w:t xml:space="preserve">a seasonal procurement </w:t>
      </w:r>
      <w:r w:rsidR="00534F0E">
        <w:rPr>
          <w:sz w:val="24"/>
          <w:szCs w:val="24"/>
        </w:rPr>
        <w:t>approach and is able to procure the appropriate types of resources depending on distinct seasonal needs</w:t>
      </w:r>
      <w:r w:rsidR="00AB7A44">
        <w:rPr>
          <w:sz w:val="24"/>
          <w:szCs w:val="24"/>
        </w:rPr>
        <w:t xml:space="preserve">, while other </w:t>
      </w:r>
      <w:r w:rsidR="00784E09">
        <w:rPr>
          <w:sz w:val="24"/>
          <w:szCs w:val="24"/>
        </w:rPr>
        <w:t>services are better procured on a daily approach</w:t>
      </w:r>
      <w:r w:rsidR="00534F0E">
        <w:rPr>
          <w:sz w:val="24"/>
          <w:szCs w:val="24"/>
        </w:rPr>
        <w:t xml:space="preserve">.  </w:t>
      </w:r>
      <w:r w:rsidR="007B28FA">
        <w:rPr>
          <w:sz w:val="24"/>
          <w:szCs w:val="24"/>
        </w:rPr>
        <w:t xml:space="preserve">A </w:t>
      </w:r>
      <w:r w:rsidR="00784E09">
        <w:rPr>
          <w:sz w:val="24"/>
          <w:szCs w:val="24"/>
        </w:rPr>
        <w:lastRenderedPageBreak/>
        <w:t xml:space="preserve">procurement approach that is more granular </w:t>
      </w:r>
      <w:r w:rsidR="00744500">
        <w:rPr>
          <w:sz w:val="24"/>
          <w:szCs w:val="24"/>
        </w:rPr>
        <w:t xml:space="preserve">than annual </w:t>
      </w:r>
      <w:r w:rsidR="00784E09">
        <w:rPr>
          <w:sz w:val="24"/>
          <w:szCs w:val="24"/>
        </w:rPr>
        <w:t xml:space="preserve">also </w:t>
      </w:r>
      <w:r w:rsidR="007B28FA">
        <w:rPr>
          <w:sz w:val="24"/>
          <w:szCs w:val="24"/>
        </w:rPr>
        <w:t xml:space="preserve">should provide </w:t>
      </w:r>
      <w:r w:rsidR="00744500">
        <w:rPr>
          <w:sz w:val="24"/>
          <w:szCs w:val="24"/>
        </w:rPr>
        <w:t xml:space="preserve">clearer </w:t>
      </w:r>
      <w:r w:rsidR="007B28FA">
        <w:rPr>
          <w:sz w:val="24"/>
          <w:szCs w:val="24"/>
        </w:rPr>
        <w:t xml:space="preserve">indications of the value of the new product and its impact on market participants and customers. </w:t>
      </w:r>
    </w:p>
    <w:p w14:paraId="7272B332" w14:textId="2E6C21CC" w:rsidR="0032142B" w:rsidRDefault="0032142B">
      <w:pPr>
        <w:rPr>
          <w:b/>
          <w:bCs/>
          <w:sz w:val="24"/>
          <w:szCs w:val="24"/>
        </w:rPr>
      </w:pPr>
    </w:p>
    <w:p w14:paraId="1E6854ED" w14:textId="274A8F93" w:rsidR="005C4593" w:rsidRDefault="005C4593" w:rsidP="002C18D3">
      <w:pPr>
        <w:pStyle w:val="ListParagraph"/>
        <w:numPr>
          <w:ilvl w:val="0"/>
          <w:numId w:val="13"/>
        </w:numPr>
        <w:pBdr>
          <w:top w:val="nil"/>
          <w:left w:val="nil"/>
          <w:bottom w:val="nil"/>
          <w:right w:val="nil"/>
          <w:between w:val="nil"/>
          <w:bar w:val="nil"/>
        </w:pBdr>
        <w:contextualSpacing w:val="0"/>
        <w:rPr>
          <w:b/>
          <w:bCs/>
          <w:sz w:val="24"/>
          <w:szCs w:val="24"/>
        </w:rPr>
      </w:pPr>
      <w:r w:rsidRPr="005C4593">
        <w:rPr>
          <w:b/>
          <w:bCs/>
          <w:sz w:val="24"/>
          <w:szCs w:val="24"/>
        </w:rPr>
        <w:t>If implementing a short-term design as a "bridge" delays the ultimate solution, should it be considered? Is there an alternative to a bridge solution that could be implemented immediately,</w:t>
      </w:r>
      <w:r w:rsidRPr="005C4593">
        <w:t xml:space="preserve"> </w:t>
      </w:r>
      <w:r w:rsidRPr="005C4593">
        <w:rPr>
          <w:b/>
          <w:bCs/>
          <w:sz w:val="24"/>
          <w:szCs w:val="24"/>
        </w:rPr>
        <w:t>using existing products, such as a long-term commitment to buy the additional 5,630 MW of Ancillary services necessary to achieve the 1-in-10 LOLE reliability standard?</w:t>
      </w:r>
    </w:p>
    <w:p w14:paraId="13945702" w14:textId="5682CA81" w:rsidR="004D2E72" w:rsidRDefault="004D2E72" w:rsidP="004D2E72">
      <w:pPr>
        <w:pBdr>
          <w:top w:val="nil"/>
          <w:left w:val="nil"/>
          <w:bottom w:val="nil"/>
          <w:right w:val="nil"/>
          <w:between w:val="nil"/>
          <w:bar w:val="nil"/>
        </w:pBdr>
        <w:rPr>
          <w:b/>
          <w:bCs/>
          <w:sz w:val="24"/>
          <w:szCs w:val="24"/>
        </w:rPr>
      </w:pPr>
    </w:p>
    <w:p w14:paraId="5EEB189F" w14:textId="72FCD095" w:rsidR="000E7081" w:rsidRPr="00D661BF" w:rsidRDefault="004D2E72" w:rsidP="002C18D3">
      <w:pPr>
        <w:spacing w:line="480" w:lineRule="auto"/>
        <w:ind w:firstLine="720"/>
        <w:jc w:val="both"/>
        <w:rPr>
          <w:sz w:val="24"/>
          <w:szCs w:val="24"/>
        </w:rPr>
      </w:pPr>
      <w:r w:rsidRPr="008F3E94">
        <w:rPr>
          <w:sz w:val="24"/>
          <w:szCs w:val="24"/>
        </w:rPr>
        <w:t xml:space="preserve">AEMA strongly encourages the Commission to grow demand-side resources as an initial solution to immediately address grid reliability. These resources are cost-competitive, able to be aggregated in a matter of days or </w:t>
      </w:r>
      <w:proofErr w:type="gramStart"/>
      <w:r w:rsidRPr="008F3E94">
        <w:rPr>
          <w:sz w:val="24"/>
          <w:szCs w:val="24"/>
        </w:rPr>
        <w:t>weeks, and</w:t>
      </w:r>
      <w:proofErr w:type="gramEnd"/>
      <w:r w:rsidRPr="008F3E94">
        <w:rPr>
          <w:sz w:val="24"/>
          <w:szCs w:val="24"/>
        </w:rPr>
        <w:t xml:space="preserve"> can meaningfully reduce peak load.</w:t>
      </w:r>
    </w:p>
    <w:p w14:paraId="0000004F" w14:textId="77777777" w:rsidR="006864CF" w:rsidRPr="00D661BF" w:rsidRDefault="007C5C8E">
      <w:pPr>
        <w:spacing w:line="480" w:lineRule="auto"/>
        <w:jc w:val="center"/>
        <w:rPr>
          <w:b/>
          <w:sz w:val="24"/>
          <w:szCs w:val="24"/>
        </w:rPr>
      </w:pPr>
      <w:r w:rsidRPr="00D661BF">
        <w:rPr>
          <w:b/>
          <w:sz w:val="24"/>
          <w:szCs w:val="24"/>
        </w:rPr>
        <w:t>Conclusion</w:t>
      </w:r>
    </w:p>
    <w:p w14:paraId="00000050" w14:textId="77777777" w:rsidR="006864CF" w:rsidRPr="00D661BF" w:rsidRDefault="007C5C8E">
      <w:pPr>
        <w:spacing w:line="480" w:lineRule="auto"/>
        <w:ind w:firstLine="720"/>
        <w:jc w:val="both"/>
        <w:rPr>
          <w:sz w:val="24"/>
          <w:szCs w:val="24"/>
        </w:rPr>
      </w:pPr>
      <w:r w:rsidRPr="00D661BF">
        <w:rPr>
          <w:sz w:val="24"/>
          <w:szCs w:val="24"/>
        </w:rPr>
        <w:t>AEMA appreciates the opportunity to provide these Comments and looks forward to working with the Commission and other interested parties on these issues.</w:t>
      </w:r>
    </w:p>
    <w:p w14:paraId="00000051" w14:textId="77777777" w:rsidR="006864CF" w:rsidRPr="00D661BF" w:rsidRDefault="007C5C8E">
      <w:pPr>
        <w:ind w:left="4320" w:firstLine="720"/>
        <w:jc w:val="both"/>
        <w:rPr>
          <w:sz w:val="24"/>
          <w:szCs w:val="24"/>
        </w:rPr>
      </w:pPr>
      <w:r w:rsidRPr="00D661BF">
        <w:rPr>
          <w:sz w:val="24"/>
          <w:szCs w:val="24"/>
        </w:rPr>
        <w:t>Respectfully submitted,</w:t>
      </w:r>
    </w:p>
    <w:p w14:paraId="00000052" w14:textId="77777777" w:rsidR="006864CF" w:rsidRPr="00D661BF" w:rsidRDefault="006864CF">
      <w:pPr>
        <w:jc w:val="both"/>
        <w:rPr>
          <w:sz w:val="24"/>
          <w:szCs w:val="24"/>
        </w:rPr>
      </w:pPr>
    </w:p>
    <w:p w14:paraId="00000053" w14:textId="3403D130" w:rsidR="006864CF" w:rsidRPr="00D661BF" w:rsidRDefault="00A6322C">
      <w:pPr>
        <w:ind w:left="4320" w:firstLine="720"/>
        <w:rPr>
          <w:sz w:val="24"/>
          <w:szCs w:val="24"/>
        </w:rPr>
      </w:pPr>
      <w:r>
        <w:rPr>
          <w:noProof/>
          <w:sz w:val="24"/>
          <w:szCs w:val="24"/>
        </w:rPr>
        <w:drawing>
          <wp:inline distT="0" distB="0" distL="0" distR="0" wp14:anchorId="4D02B5D1" wp14:editId="1B735EAD">
            <wp:extent cx="2176145" cy="2438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76145" cy="243840"/>
                    </a:xfrm>
                    <a:prstGeom prst="rect">
                      <a:avLst/>
                    </a:prstGeom>
                    <a:noFill/>
                  </pic:spPr>
                </pic:pic>
              </a:graphicData>
            </a:graphic>
          </wp:inline>
        </w:drawing>
      </w:r>
    </w:p>
    <w:p w14:paraId="00000054" w14:textId="77777777" w:rsidR="006864CF" w:rsidRPr="00D661BF" w:rsidRDefault="006864CF">
      <w:pPr>
        <w:ind w:left="4320" w:firstLine="720"/>
        <w:rPr>
          <w:sz w:val="24"/>
          <w:szCs w:val="24"/>
        </w:rPr>
      </w:pPr>
    </w:p>
    <w:p w14:paraId="00000055" w14:textId="77777777" w:rsidR="006864CF" w:rsidRPr="00D661BF" w:rsidRDefault="007C5C8E">
      <w:pPr>
        <w:ind w:left="4320" w:firstLine="720"/>
        <w:rPr>
          <w:sz w:val="24"/>
          <w:szCs w:val="24"/>
        </w:rPr>
      </w:pPr>
      <w:r w:rsidRPr="00D661BF">
        <w:rPr>
          <w:sz w:val="24"/>
          <w:szCs w:val="24"/>
        </w:rPr>
        <w:t>Katherine Hamilton</w:t>
      </w:r>
    </w:p>
    <w:p w14:paraId="00000056" w14:textId="77777777" w:rsidR="006864CF" w:rsidRPr="00D661BF" w:rsidRDefault="007C5C8E">
      <w:pPr>
        <w:ind w:left="4320" w:firstLine="720"/>
        <w:rPr>
          <w:sz w:val="24"/>
          <w:szCs w:val="24"/>
        </w:rPr>
      </w:pPr>
      <w:r w:rsidRPr="00D661BF">
        <w:rPr>
          <w:sz w:val="24"/>
          <w:szCs w:val="24"/>
        </w:rPr>
        <w:t>Executive Director</w:t>
      </w:r>
    </w:p>
    <w:p w14:paraId="00000057" w14:textId="77777777" w:rsidR="006864CF" w:rsidRPr="00D661BF" w:rsidRDefault="007C5C8E">
      <w:pPr>
        <w:ind w:left="4320" w:firstLine="720"/>
        <w:rPr>
          <w:sz w:val="24"/>
          <w:szCs w:val="24"/>
        </w:rPr>
      </w:pPr>
      <w:r w:rsidRPr="00D661BF">
        <w:rPr>
          <w:sz w:val="24"/>
          <w:szCs w:val="24"/>
        </w:rPr>
        <w:t>Advanced Energy Management Alliance</w:t>
      </w:r>
    </w:p>
    <w:p w14:paraId="00000058" w14:textId="77777777" w:rsidR="006864CF" w:rsidRPr="00D661BF" w:rsidRDefault="007C5C8E">
      <w:pPr>
        <w:ind w:left="4320" w:firstLine="720"/>
        <w:rPr>
          <w:sz w:val="24"/>
          <w:szCs w:val="24"/>
        </w:rPr>
      </w:pPr>
      <w:r w:rsidRPr="00D661BF">
        <w:rPr>
          <w:sz w:val="24"/>
          <w:szCs w:val="24"/>
        </w:rPr>
        <w:t>katherine@aem-alliance.org</w:t>
      </w:r>
    </w:p>
    <w:p w14:paraId="00000059" w14:textId="77777777" w:rsidR="006864CF" w:rsidRPr="00D661BF" w:rsidRDefault="007C5C8E">
      <w:pPr>
        <w:ind w:left="4320" w:firstLine="720"/>
        <w:rPr>
          <w:sz w:val="24"/>
          <w:szCs w:val="24"/>
        </w:rPr>
      </w:pPr>
      <w:r w:rsidRPr="00D661BF">
        <w:rPr>
          <w:sz w:val="24"/>
          <w:szCs w:val="24"/>
        </w:rPr>
        <w:t xml:space="preserve">Office: 202-524-8832 </w:t>
      </w:r>
    </w:p>
    <w:p w14:paraId="0000005A" w14:textId="04C53B90" w:rsidR="006864CF" w:rsidRPr="00D661BF" w:rsidRDefault="007C5C8E">
      <w:pPr>
        <w:ind w:left="4320" w:firstLine="720"/>
        <w:rPr>
          <w:sz w:val="24"/>
          <w:szCs w:val="24"/>
        </w:rPr>
      </w:pPr>
      <w:r w:rsidRPr="00D661BF">
        <w:rPr>
          <w:sz w:val="24"/>
          <w:szCs w:val="24"/>
        </w:rPr>
        <w:t>Cell: 703-517-9410</w:t>
      </w:r>
    </w:p>
    <w:p w14:paraId="1D8ABE49" w14:textId="6EB2A81F" w:rsidR="001A6019" w:rsidRPr="00D661BF" w:rsidRDefault="001A6019">
      <w:pPr>
        <w:ind w:left="4320" w:firstLine="720"/>
        <w:rPr>
          <w:sz w:val="24"/>
          <w:szCs w:val="24"/>
        </w:rPr>
      </w:pPr>
    </w:p>
    <w:p w14:paraId="56E8908A" w14:textId="32FDF1E6" w:rsidR="001A6019" w:rsidRPr="00D661BF" w:rsidRDefault="001A6019">
      <w:pPr>
        <w:rPr>
          <w:sz w:val="24"/>
          <w:szCs w:val="24"/>
        </w:rPr>
      </w:pPr>
      <w:r w:rsidRPr="00D661BF">
        <w:rPr>
          <w:sz w:val="24"/>
          <w:szCs w:val="24"/>
        </w:rPr>
        <w:br w:type="page"/>
      </w:r>
    </w:p>
    <w:p w14:paraId="5288128C" w14:textId="77777777" w:rsidR="001A6019" w:rsidRPr="00D661BF" w:rsidRDefault="001A6019" w:rsidP="001A6019">
      <w:pPr>
        <w:widowControl w:val="0"/>
        <w:pBdr>
          <w:top w:val="nil"/>
          <w:left w:val="nil"/>
          <w:bottom w:val="nil"/>
          <w:right w:val="nil"/>
          <w:between w:val="nil"/>
        </w:pBdr>
        <w:spacing w:line="276" w:lineRule="auto"/>
        <w:rPr>
          <w:sz w:val="24"/>
          <w:szCs w:val="24"/>
        </w:rPr>
      </w:pPr>
      <w:r w:rsidRPr="00D661BF">
        <w:rPr>
          <w:noProof/>
          <w:sz w:val="24"/>
          <w:szCs w:val="24"/>
        </w:rPr>
        <w:lastRenderedPageBreak/>
        <mc:AlternateContent>
          <mc:Choice Requires="wps">
            <w:drawing>
              <wp:anchor distT="0" distB="0" distL="114300" distR="114300" simplePos="0" relativeHeight="251658240" behindDoc="0" locked="0" layoutInCell="1" allowOverlap="1" wp14:anchorId="1FB6262E" wp14:editId="29E37B78">
                <wp:simplePos x="0" y="0"/>
                <wp:positionH relativeFrom="column">
                  <wp:posOffset>0</wp:posOffset>
                </wp:positionH>
                <wp:positionV relativeFrom="paragraph">
                  <wp:posOffset>0</wp:posOffset>
                </wp:positionV>
                <wp:extent cx="635000" cy="635000"/>
                <wp:effectExtent l="0" t="0" r="0" b="0"/>
                <wp:wrapNone/>
                <wp:docPr id="7" name="WordArt 4"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35000" cy="635000"/>
                        </a:xfrm>
                        <a:prstGeom prst="rect">
                          <a:avLst/>
                        </a:prstGeom>
                      </wps:spPr>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659925E" id="_x0000_t202" coordsize="21600,21600" o:spt="202" path="m,l,21600r21600,l21600,xe">
                <v:stroke joinstyle="miter"/>
                <v:path gradientshapeok="t" o:connecttype="rect"/>
              </v:shapetype>
              <v:shape id="WordArt 4" o:spid="_x0000_s1026" type="#_x0000_t202"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" filled="f" stroked="f"/>
            </w:pict>
          </mc:Fallback>
        </mc:AlternateContent>
      </w:r>
      <w:r w:rsidRPr="00D661BF">
        <w:rPr>
          <w:noProof/>
          <w:sz w:val="24"/>
          <w:szCs w:val="24"/>
        </w:rPr>
        <mc:AlternateContent>
          <mc:Choice Requires="wps">
            <w:drawing>
              <wp:anchor distT="0" distB="0" distL="114300" distR="114300" simplePos="0" relativeHeight="251658241" behindDoc="0" locked="0" layoutInCell="1" allowOverlap="1" wp14:anchorId="17046C62" wp14:editId="1FBEB183">
                <wp:simplePos x="0" y="0"/>
                <wp:positionH relativeFrom="column">
                  <wp:posOffset>0</wp:posOffset>
                </wp:positionH>
                <wp:positionV relativeFrom="paragraph">
                  <wp:posOffset>0</wp:posOffset>
                </wp:positionV>
                <wp:extent cx="635000" cy="635000"/>
                <wp:effectExtent l="0" t="0" r="0" b="0"/>
                <wp:wrapNone/>
                <wp:docPr id="8" name="WordArt 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35000" cy="635000"/>
                        </a:xfrm>
                        <a:prstGeom prst="rect">
                          <a:avLst/>
                        </a:prstGeom>
                      </wps:spPr>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B1C5023" id="WordArt 3" o:spid="_x0000_s1026" type="#_x0000_t202" style="position:absolute;margin-left:0;margin-top:0;width:50pt;height:50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" filled="f" stroked="f"/>
            </w:pict>
          </mc:Fallback>
        </mc:AlternateContent>
      </w:r>
      <w:r w:rsidRPr="00D661BF">
        <w:rPr>
          <w:noProof/>
          <w:sz w:val="24"/>
          <w:szCs w:val="24"/>
        </w:rPr>
        <mc:AlternateContent>
          <mc:Choice Requires="wps">
            <w:drawing>
              <wp:anchor distT="0" distB="0" distL="114300" distR="114300" simplePos="0" relativeHeight="251658242" behindDoc="0" locked="0" layoutInCell="1" allowOverlap="1" wp14:anchorId="71ACB41F" wp14:editId="0986F8AF">
                <wp:simplePos x="0" y="0"/>
                <wp:positionH relativeFrom="column">
                  <wp:posOffset>0</wp:posOffset>
                </wp:positionH>
                <wp:positionV relativeFrom="paragraph">
                  <wp:posOffset>0</wp:posOffset>
                </wp:positionV>
                <wp:extent cx="635000" cy="635000"/>
                <wp:effectExtent l="0" t="0" r="0" b="0"/>
                <wp:wrapNone/>
                <wp:docPr id="9" name="WordArt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35000" cy="635000"/>
                        </a:xfrm>
                        <a:prstGeom prst="rect">
                          <a:avLst/>
                        </a:prstGeom>
                      </wps:spPr>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4A5C4C1" id="WordArt 2" o:spid="_x0000_s1026" type="#_x0000_t202" style="position:absolute;margin-left:0;margin-top:0;width:50pt;height:50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" filled="f" stroked="f"/>
            </w:pict>
          </mc:Fallback>
        </mc:AlternateContent>
      </w:r>
    </w:p>
    <w:p w14:paraId="5FBEADFD" w14:textId="77777777" w:rsidR="004D2E72" w:rsidRPr="00D661BF" w:rsidRDefault="004D2E72" w:rsidP="004D2E72">
      <w:pPr>
        <w:pStyle w:val="Body"/>
        <w:jc w:val="center"/>
        <w:rPr>
          <w:rFonts w:eastAsia="Avenir Heavy" w:cs="Times New Roman"/>
          <w:b/>
          <w:bCs/>
        </w:rPr>
      </w:pPr>
      <w:r w:rsidRPr="00D661BF">
        <w:rPr>
          <w:rFonts w:cs="Times New Roman"/>
          <w:b/>
          <w:bCs/>
        </w:rPr>
        <w:t>PROJECT NO. 5</w:t>
      </w:r>
      <w:r>
        <w:rPr>
          <w:rFonts w:cs="Times New Roman"/>
          <w:b/>
          <w:bCs/>
        </w:rPr>
        <w:t>4335</w:t>
      </w:r>
    </w:p>
    <w:tbl>
      <w:tblPr>
        <w:tblW w:w="1029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62"/>
        <w:gridCol w:w="516"/>
        <w:gridCol w:w="5118"/>
      </w:tblGrid>
      <w:tr w:rsidR="004D2E72" w:rsidRPr="00D661BF" w14:paraId="4F7ADC2A" w14:textId="77777777">
        <w:trPr>
          <w:trHeight w:val="1520"/>
          <w:jc w:val="center"/>
        </w:trPr>
        <w:tc>
          <w:tcPr>
            <w:tcW w:w="4662" w:type="dxa"/>
            <w:tcBorders>
              <w:top w:val="nil"/>
              <w:left w:val="nil"/>
              <w:bottom w:val="nil"/>
              <w:right w:val="nil"/>
            </w:tcBorders>
            <w:shd w:val="clear" w:color="auto" w:fill="auto"/>
            <w:tcMar>
              <w:top w:w="80" w:type="dxa"/>
              <w:left w:w="80" w:type="dxa"/>
              <w:bottom w:w="80" w:type="dxa"/>
              <w:right w:w="80" w:type="dxa"/>
            </w:tcMar>
          </w:tcPr>
          <w:p w14:paraId="3125A67E" w14:textId="77777777" w:rsidR="004D2E72" w:rsidRPr="00D661BF" w:rsidRDefault="004D2E72">
            <w:pPr>
              <w:pStyle w:val="Body"/>
              <w:jc w:val="center"/>
              <w:rPr>
                <w:rFonts w:eastAsia="Avenir Heavy" w:cs="Times New Roman"/>
                <w:b/>
                <w:bCs/>
              </w:rPr>
            </w:pPr>
          </w:p>
          <w:p w14:paraId="0C70F29D" w14:textId="77777777" w:rsidR="004D2E72" w:rsidRPr="00D661BF" w:rsidRDefault="004D2E72" w:rsidP="002C18D3">
            <w:pPr>
              <w:pStyle w:val="Body"/>
              <w:rPr>
                <w:rFonts w:cs="Times New Roman"/>
                <w:b/>
                <w:bCs/>
              </w:rPr>
            </w:pPr>
            <w:r w:rsidRPr="00677F20">
              <w:rPr>
                <w:rFonts w:cs="Times New Roman"/>
                <w:b/>
                <w:bCs/>
              </w:rPr>
              <w:t xml:space="preserve">REVIEW OF MARKET REFORM ASSESSMENT PRODUCED BY ENERGY AND ENVIRONMENTAL ECONOMICS, INC. (E3) </w:t>
            </w:r>
          </w:p>
        </w:tc>
        <w:tc>
          <w:tcPr>
            <w:tcW w:w="516" w:type="dxa"/>
            <w:tcBorders>
              <w:top w:val="nil"/>
              <w:left w:val="nil"/>
              <w:bottom w:val="nil"/>
              <w:right w:val="nil"/>
            </w:tcBorders>
            <w:shd w:val="clear" w:color="auto" w:fill="auto"/>
            <w:tcMar>
              <w:top w:w="80" w:type="dxa"/>
              <w:left w:w="80" w:type="dxa"/>
              <w:bottom w:w="80" w:type="dxa"/>
              <w:right w:w="80" w:type="dxa"/>
            </w:tcMar>
          </w:tcPr>
          <w:p w14:paraId="64182568" w14:textId="77777777" w:rsidR="004D2E72" w:rsidRPr="00D661BF" w:rsidRDefault="004D2E72">
            <w:pPr>
              <w:pStyle w:val="Body"/>
              <w:jc w:val="center"/>
              <w:rPr>
                <w:rFonts w:eastAsia="Avenir Heavy" w:cs="Times New Roman"/>
                <w:b/>
                <w:bCs/>
              </w:rPr>
            </w:pPr>
          </w:p>
          <w:p w14:paraId="0D6005B7" w14:textId="77777777" w:rsidR="004D2E72" w:rsidRPr="00D661BF" w:rsidRDefault="004D2E72">
            <w:pPr>
              <w:pStyle w:val="Body"/>
              <w:jc w:val="center"/>
              <w:rPr>
                <w:rFonts w:eastAsia="Avenir Heavy" w:cs="Times New Roman"/>
                <w:b/>
                <w:bCs/>
              </w:rPr>
            </w:pPr>
            <w:r w:rsidRPr="00D661BF">
              <w:rPr>
                <w:rFonts w:cs="Times New Roman"/>
                <w:b/>
                <w:bCs/>
              </w:rPr>
              <w:t>§</w:t>
            </w:r>
          </w:p>
          <w:p w14:paraId="37C7E56B" w14:textId="77777777" w:rsidR="004D2E72" w:rsidRPr="00D661BF" w:rsidRDefault="004D2E72">
            <w:pPr>
              <w:pStyle w:val="Body"/>
              <w:jc w:val="center"/>
              <w:rPr>
                <w:rFonts w:eastAsia="Avenir Heavy" w:cs="Times New Roman"/>
                <w:b/>
                <w:bCs/>
              </w:rPr>
            </w:pPr>
            <w:r w:rsidRPr="00D661BF">
              <w:rPr>
                <w:rFonts w:cs="Times New Roman"/>
                <w:b/>
                <w:bCs/>
              </w:rPr>
              <w:t>§</w:t>
            </w:r>
          </w:p>
          <w:p w14:paraId="7A749F29" w14:textId="77777777" w:rsidR="004D2E72" w:rsidRDefault="004D2E72">
            <w:pPr>
              <w:pStyle w:val="Body"/>
              <w:jc w:val="center"/>
              <w:rPr>
                <w:rFonts w:cs="Times New Roman"/>
                <w:b/>
                <w:bCs/>
              </w:rPr>
            </w:pPr>
            <w:r w:rsidRPr="00D661BF">
              <w:rPr>
                <w:rFonts w:cs="Times New Roman"/>
                <w:b/>
                <w:bCs/>
              </w:rPr>
              <w:t>§</w:t>
            </w:r>
          </w:p>
          <w:p w14:paraId="0AB90C98" w14:textId="7B016B3D" w:rsidR="00F435ED" w:rsidRPr="00D661BF" w:rsidRDefault="00F435ED">
            <w:pPr>
              <w:pStyle w:val="Body"/>
              <w:jc w:val="center"/>
              <w:rPr>
                <w:rFonts w:cs="Times New Roman"/>
                <w:b/>
                <w:bCs/>
              </w:rPr>
            </w:pPr>
            <w:r>
              <w:rPr>
                <w:rFonts w:cs="Times New Roman"/>
                <w:b/>
                <w:bCs/>
              </w:rPr>
              <w:t>§</w:t>
            </w:r>
          </w:p>
        </w:tc>
        <w:tc>
          <w:tcPr>
            <w:tcW w:w="5118" w:type="dxa"/>
            <w:tcBorders>
              <w:top w:val="nil"/>
              <w:left w:val="nil"/>
              <w:bottom w:val="nil"/>
              <w:right w:val="nil"/>
            </w:tcBorders>
            <w:shd w:val="clear" w:color="auto" w:fill="auto"/>
            <w:tcMar>
              <w:top w:w="80" w:type="dxa"/>
              <w:left w:w="80" w:type="dxa"/>
              <w:bottom w:w="80" w:type="dxa"/>
              <w:right w:w="80" w:type="dxa"/>
            </w:tcMar>
          </w:tcPr>
          <w:p w14:paraId="7824EB12" w14:textId="77777777" w:rsidR="004D2E72" w:rsidRPr="00D661BF" w:rsidRDefault="004D2E72">
            <w:pPr>
              <w:pStyle w:val="Body"/>
              <w:jc w:val="center"/>
              <w:rPr>
                <w:rFonts w:eastAsia="Avenir Heavy" w:cs="Times New Roman"/>
                <w:b/>
                <w:bCs/>
              </w:rPr>
            </w:pPr>
          </w:p>
          <w:p w14:paraId="3B5B1929" w14:textId="77777777" w:rsidR="004D2E72" w:rsidRPr="00D661BF" w:rsidRDefault="004D2E72">
            <w:pPr>
              <w:pStyle w:val="Body"/>
              <w:jc w:val="center"/>
              <w:rPr>
                <w:rFonts w:eastAsia="Avenir Heavy" w:cs="Times New Roman"/>
                <w:b/>
                <w:bCs/>
              </w:rPr>
            </w:pPr>
            <w:r w:rsidRPr="00D661BF">
              <w:rPr>
                <w:rFonts w:cs="Times New Roman"/>
                <w:b/>
                <w:bCs/>
              </w:rPr>
              <w:t>PUBLIC UTILITY COMMISSION</w:t>
            </w:r>
          </w:p>
          <w:p w14:paraId="30E10B0B" w14:textId="6EC5053C" w:rsidR="004D2E72" w:rsidRPr="00D661BF" w:rsidRDefault="004D2E72">
            <w:pPr>
              <w:pStyle w:val="Body"/>
              <w:jc w:val="center"/>
              <w:rPr>
                <w:rFonts w:eastAsia="Avenir Heavy" w:cs="Times New Roman"/>
                <w:b/>
                <w:bCs/>
              </w:rPr>
            </w:pPr>
          </w:p>
          <w:p w14:paraId="447173F8" w14:textId="118D7AB5" w:rsidR="004D2E72" w:rsidRPr="00D661BF" w:rsidRDefault="00F435ED">
            <w:pPr>
              <w:pStyle w:val="Body"/>
              <w:jc w:val="center"/>
              <w:rPr>
                <w:rFonts w:cs="Times New Roman"/>
                <w:b/>
                <w:bCs/>
              </w:rPr>
            </w:pPr>
            <w:r>
              <w:rPr>
                <w:rFonts w:cs="Times New Roman"/>
                <w:b/>
                <w:bCs/>
              </w:rPr>
              <w:t xml:space="preserve">OF </w:t>
            </w:r>
            <w:r w:rsidR="004D2E72" w:rsidRPr="00D661BF">
              <w:rPr>
                <w:rFonts w:cs="Times New Roman"/>
                <w:b/>
                <w:bCs/>
              </w:rPr>
              <w:t>TEXAS</w:t>
            </w:r>
          </w:p>
        </w:tc>
      </w:tr>
    </w:tbl>
    <w:p w14:paraId="375D26C1" w14:textId="77777777" w:rsidR="004D2E72" w:rsidRPr="00D661BF" w:rsidRDefault="004D2E72" w:rsidP="004D2E72">
      <w:pPr>
        <w:tabs>
          <w:tab w:val="left" w:pos="7920"/>
        </w:tabs>
        <w:spacing w:line="259" w:lineRule="auto"/>
        <w:jc w:val="center"/>
        <w:rPr>
          <w:b/>
          <w:sz w:val="24"/>
          <w:szCs w:val="24"/>
        </w:rPr>
      </w:pPr>
      <w:r w:rsidRPr="00D661BF">
        <w:rPr>
          <w:b/>
          <w:sz w:val="24"/>
          <w:szCs w:val="24"/>
        </w:rPr>
        <w:t xml:space="preserve">COMMENTS OF </w:t>
      </w:r>
    </w:p>
    <w:p w14:paraId="0BA47862" w14:textId="77777777" w:rsidR="004D2E72" w:rsidRPr="00D661BF" w:rsidRDefault="004D2E72" w:rsidP="004D2E72">
      <w:pPr>
        <w:tabs>
          <w:tab w:val="left" w:pos="7920"/>
        </w:tabs>
        <w:spacing w:line="259" w:lineRule="auto"/>
        <w:jc w:val="center"/>
        <w:rPr>
          <w:b/>
          <w:sz w:val="24"/>
          <w:szCs w:val="24"/>
        </w:rPr>
      </w:pPr>
      <w:r w:rsidRPr="00D661BF">
        <w:rPr>
          <w:b/>
          <w:sz w:val="24"/>
          <w:szCs w:val="24"/>
        </w:rPr>
        <w:t>ADVANCED ENERGY MANAGEMENT ALLIANCE</w:t>
      </w:r>
    </w:p>
    <w:p w14:paraId="5335D062" w14:textId="2EC357DF" w:rsidR="001A6019" w:rsidRPr="00D661BF" w:rsidRDefault="001A6019" w:rsidP="001A6019">
      <w:pPr>
        <w:ind w:left="4320" w:firstLine="720"/>
        <w:jc w:val="both"/>
        <w:rPr>
          <w:sz w:val="24"/>
          <w:szCs w:val="24"/>
        </w:rPr>
      </w:pPr>
    </w:p>
    <w:p w14:paraId="170EDD28" w14:textId="2E0AACE2" w:rsidR="001A6019" w:rsidRDefault="001A6019" w:rsidP="001A6019">
      <w:pPr>
        <w:jc w:val="center"/>
        <w:rPr>
          <w:b/>
          <w:bCs/>
          <w:sz w:val="24"/>
          <w:szCs w:val="24"/>
        </w:rPr>
      </w:pPr>
      <w:r w:rsidRPr="00D661BF">
        <w:rPr>
          <w:b/>
          <w:bCs/>
          <w:sz w:val="24"/>
          <w:szCs w:val="24"/>
        </w:rPr>
        <w:t>EXECUTIVE SUMMARY</w:t>
      </w:r>
    </w:p>
    <w:p w14:paraId="6A971F2F" w14:textId="42943A0C" w:rsidR="00D9463F" w:rsidRPr="00D9463F" w:rsidRDefault="00D9463F" w:rsidP="00D9463F">
      <w:pPr>
        <w:rPr>
          <w:sz w:val="24"/>
          <w:szCs w:val="24"/>
        </w:rPr>
      </w:pPr>
    </w:p>
    <w:p w14:paraId="338D5003" w14:textId="32F42CB7" w:rsidR="001B14E4" w:rsidRDefault="001B14E4" w:rsidP="001B14E4">
      <w:pPr>
        <w:pStyle w:val="ListParagraph"/>
        <w:numPr>
          <w:ilvl w:val="0"/>
          <w:numId w:val="8"/>
        </w:numPr>
        <w:spacing w:line="276" w:lineRule="auto"/>
        <w:ind w:left="360"/>
        <w:jc w:val="both"/>
        <w:rPr>
          <w:sz w:val="24"/>
          <w:szCs w:val="24"/>
        </w:rPr>
      </w:pPr>
      <w:r w:rsidRPr="001B14E4">
        <w:rPr>
          <w:sz w:val="24"/>
          <w:szCs w:val="24"/>
        </w:rPr>
        <w:t xml:space="preserve">The E3 report fails to appropriately incorporate demand-side solutions, including both demand response and energy efficiency, which skews the analysis, particularly the computations of system costs, because these resources </w:t>
      </w:r>
      <w:proofErr w:type="gramStart"/>
      <w:r w:rsidRPr="001B14E4">
        <w:rPr>
          <w:sz w:val="24"/>
          <w:szCs w:val="24"/>
        </w:rPr>
        <w:t>are capable of providing</w:t>
      </w:r>
      <w:proofErr w:type="gramEnd"/>
      <w:r w:rsidRPr="001B14E4">
        <w:rPr>
          <w:sz w:val="24"/>
          <w:szCs w:val="24"/>
        </w:rPr>
        <w:t xml:space="preserve"> grid reliability at a comparatively low cost. </w:t>
      </w:r>
    </w:p>
    <w:p w14:paraId="711FD3F2" w14:textId="0DB2D111" w:rsidR="001B14E4" w:rsidRPr="001B14E4" w:rsidRDefault="001B14E4" w:rsidP="001B14E4">
      <w:pPr>
        <w:pStyle w:val="ListParagraph"/>
        <w:numPr>
          <w:ilvl w:val="0"/>
          <w:numId w:val="8"/>
        </w:numPr>
        <w:spacing w:line="276" w:lineRule="auto"/>
        <w:ind w:left="360"/>
        <w:jc w:val="both"/>
        <w:rPr>
          <w:sz w:val="24"/>
          <w:szCs w:val="24"/>
        </w:rPr>
      </w:pPr>
      <w:r w:rsidRPr="001B14E4">
        <w:rPr>
          <w:sz w:val="24"/>
          <w:szCs w:val="24"/>
        </w:rPr>
        <w:t>Irrespective of the market design selected by the Commission, we urge the Commission to commit to and prioritize the following additional actions</w:t>
      </w:r>
      <w:r>
        <w:rPr>
          <w:sz w:val="24"/>
          <w:szCs w:val="24"/>
        </w:rPr>
        <w:t>, because demand-side resources can provide immediate grid reliability support</w:t>
      </w:r>
      <w:r w:rsidRPr="001B14E4">
        <w:rPr>
          <w:sz w:val="24"/>
          <w:szCs w:val="24"/>
        </w:rPr>
        <w:t>:</w:t>
      </w:r>
    </w:p>
    <w:p w14:paraId="6D12E5A5" w14:textId="7C2A87F4" w:rsidR="001B14E4" w:rsidRPr="001B14E4" w:rsidRDefault="001B14E4" w:rsidP="001B14E4">
      <w:pPr>
        <w:pStyle w:val="ListParagraph"/>
        <w:numPr>
          <w:ilvl w:val="0"/>
          <w:numId w:val="9"/>
        </w:numPr>
        <w:spacing w:line="276" w:lineRule="auto"/>
        <w:jc w:val="both"/>
        <w:rPr>
          <w:sz w:val="24"/>
          <w:szCs w:val="24"/>
        </w:rPr>
      </w:pPr>
      <w:r>
        <w:rPr>
          <w:sz w:val="24"/>
          <w:szCs w:val="24"/>
        </w:rPr>
        <w:t xml:space="preserve">Include in any resolution adopting market design changes </w:t>
      </w:r>
      <w:r w:rsidR="004C58F9">
        <w:rPr>
          <w:sz w:val="24"/>
          <w:szCs w:val="24"/>
        </w:rPr>
        <w:t xml:space="preserve">a directive </w:t>
      </w:r>
      <w:r>
        <w:rPr>
          <w:sz w:val="24"/>
          <w:szCs w:val="24"/>
        </w:rPr>
        <w:t xml:space="preserve">that any resources capable of providing new services will be eligible to participate, including demand resources.  </w:t>
      </w:r>
    </w:p>
    <w:p w14:paraId="0900D92A" w14:textId="77777777" w:rsidR="001B14E4" w:rsidRDefault="001B14E4" w:rsidP="001B14E4">
      <w:pPr>
        <w:pStyle w:val="ListParagraph"/>
        <w:numPr>
          <w:ilvl w:val="0"/>
          <w:numId w:val="9"/>
        </w:numPr>
        <w:spacing w:line="276" w:lineRule="auto"/>
        <w:jc w:val="both"/>
        <w:rPr>
          <w:sz w:val="24"/>
          <w:szCs w:val="24"/>
        </w:rPr>
      </w:pPr>
      <w:r>
        <w:rPr>
          <w:sz w:val="24"/>
          <w:szCs w:val="24"/>
        </w:rPr>
        <w:t>Clarify how demand response will be able to participate as a market-integrated resource in the new market design and expediently develop appropriate participation models.</w:t>
      </w:r>
    </w:p>
    <w:p w14:paraId="0097DB3B" w14:textId="0A3275BE" w:rsidR="001B14E4" w:rsidRDefault="001B14E4" w:rsidP="001B14E4">
      <w:pPr>
        <w:pStyle w:val="ListParagraph"/>
        <w:numPr>
          <w:ilvl w:val="0"/>
          <w:numId w:val="9"/>
        </w:numPr>
        <w:spacing w:line="276" w:lineRule="auto"/>
        <w:jc w:val="both"/>
        <w:rPr>
          <w:sz w:val="24"/>
          <w:szCs w:val="24"/>
        </w:rPr>
      </w:pPr>
      <w:r>
        <w:rPr>
          <w:sz w:val="24"/>
          <w:szCs w:val="24"/>
        </w:rPr>
        <w:t>Set a peak demand goal and energy savings target to spur the development of additional cost-effective demand response and energy efficiency resources.</w:t>
      </w:r>
    </w:p>
    <w:p w14:paraId="4C25C28E" w14:textId="32A66248" w:rsidR="00EC5312" w:rsidRDefault="00EC5312" w:rsidP="001B14E4">
      <w:pPr>
        <w:pStyle w:val="ListParagraph"/>
        <w:numPr>
          <w:ilvl w:val="0"/>
          <w:numId w:val="9"/>
        </w:numPr>
        <w:spacing w:line="276" w:lineRule="auto"/>
        <w:jc w:val="both"/>
        <w:rPr>
          <w:sz w:val="24"/>
          <w:szCs w:val="24"/>
        </w:rPr>
      </w:pPr>
      <w:r w:rsidRPr="00EC5312">
        <w:rPr>
          <w:sz w:val="24"/>
          <w:szCs w:val="24"/>
        </w:rPr>
        <w:t xml:space="preserve">If PCM is adopted, a seasonal or more granular approach should be pursued.  </w:t>
      </w:r>
      <w:r w:rsidRPr="00B47CFB">
        <w:rPr>
          <w:sz w:val="24"/>
          <w:szCs w:val="24"/>
        </w:rPr>
        <w:t xml:space="preserve">Shorter periods will not eliminate significant risks </w:t>
      </w:r>
      <w:r w:rsidR="007E3EE9" w:rsidRPr="00B47CFB">
        <w:rPr>
          <w:sz w:val="24"/>
          <w:szCs w:val="24"/>
        </w:rPr>
        <w:t xml:space="preserve">of the </w:t>
      </w:r>
      <w:r w:rsidR="00B47CFB" w:rsidRPr="00B47CFB">
        <w:rPr>
          <w:sz w:val="24"/>
          <w:szCs w:val="24"/>
        </w:rPr>
        <w:t>proposal but</w:t>
      </w:r>
      <w:r w:rsidRPr="00B47CFB">
        <w:rPr>
          <w:sz w:val="24"/>
          <w:szCs w:val="24"/>
        </w:rPr>
        <w:t xml:space="preserve"> could help reduce</w:t>
      </w:r>
      <w:r w:rsidRPr="00EC5312">
        <w:rPr>
          <w:sz w:val="24"/>
          <w:szCs w:val="24"/>
        </w:rPr>
        <w:t xml:space="preserve"> the commercial impracticability of settling charges significantly in arrears of when they are provided and consumed.</w:t>
      </w:r>
    </w:p>
    <w:p w14:paraId="40E2BD47" w14:textId="77777777" w:rsidR="00D60439" w:rsidRDefault="00D60439" w:rsidP="001B14E4">
      <w:pPr>
        <w:spacing w:line="276" w:lineRule="auto"/>
        <w:jc w:val="both"/>
        <w:rPr>
          <w:sz w:val="24"/>
          <w:szCs w:val="24"/>
        </w:rPr>
      </w:pPr>
    </w:p>
    <w:p w14:paraId="4CDBA781" w14:textId="3642EF4A" w:rsidR="001B14E4" w:rsidRPr="001B14E4" w:rsidRDefault="00D60439" w:rsidP="001B14E4">
      <w:pPr>
        <w:spacing w:line="276" w:lineRule="auto"/>
        <w:jc w:val="both"/>
        <w:rPr>
          <w:sz w:val="24"/>
          <w:szCs w:val="24"/>
        </w:rPr>
      </w:pPr>
      <w:r>
        <w:rPr>
          <w:sz w:val="24"/>
          <w:szCs w:val="24"/>
        </w:rPr>
        <w:t>Summary of responses to the 12 Questions:</w:t>
      </w:r>
    </w:p>
    <w:p w14:paraId="4C1C4651" w14:textId="4C00237A" w:rsidR="00ED796E" w:rsidRDefault="00D60439" w:rsidP="00D60439">
      <w:pPr>
        <w:pStyle w:val="ListParagraph"/>
        <w:numPr>
          <w:ilvl w:val="0"/>
          <w:numId w:val="11"/>
        </w:numPr>
        <w:spacing w:line="276" w:lineRule="auto"/>
        <w:ind w:left="360"/>
        <w:jc w:val="both"/>
        <w:rPr>
          <w:sz w:val="24"/>
          <w:szCs w:val="24"/>
        </w:rPr>
      </w:pPr>
      <w:r>
        <w:rPr>
          <w:sz w:val="24"/>
          <w:szCs w:val="24"/>
        </w:rPr>
        <w:t>T</w:t>
      </w:r>
      <w:r w:rsidRPr="00D60439">
        <w:rPr>
          <w:sz w:val="24"/>
          <w:szCs w:val="24"/>
        </w:rPr>
        <w:t>here is a risk in adopting any novel market</w:t>
      </w:r>
      <w:r w:rsidR="004C58F9">
        <w:rPr>
          <w:sz w:val="24"/>
          <w:szCs w:val="24"/>
        </w:rPr>
        <w:t>,</w:t>
      </w:r>
      <w:r w:rsidRPr="00D60439">
        <w:rPr>
          <w:sz w:val="24"/>
          <w:szCs w:val="24"/>
        </w:rPr>
        <w:t xml:space="preserve"> </w:t>
      </w:r>
      <w:r>
        <w:rPr>
          <w:sz w:val="24"/>
          <w:szCs w:val="24"/>
        </w:rPr>
        <w:t>but the</w:t>
      </w:r>
      <w:r w:rsidRPr="00D60439">
        <w:rPr>
          <w:sz w:val="24"/>
          <w:szCs w:val="24"/>
        </w:rPr>
        <w:t xml:space="preserve"> PCM has the potential to carry additional risk because of </w:t>
      </w:r>
      <w:r>
        <w:rPr>
          <w:sz w:val="24"/>
          <w:szCs w:val="24"/>
        </w:rPr>
        <w:t>its</w:t>
      </w:r>
      <w:r w:rsidRPr="00D60439">
        <w:rPr>
          <w:sz w:val="24"/>
          <w:szCs w:val="24"/>
        </w:rPr>
        <w:t xml:space="preserve"> retroactive settlement process</w:t>
      </w:r>
      <w:r>
        <w:rPr>
          <w:sz w:val="24"/>
          <w:szCs w:val="24"/>
        </w:rPr>
        <w:t>. I</w:t>
      </w:r>
      <w:r w:rsidRPr="00D60439">
        <w:rPr>
          <w:sz w:val="24"/>
          <w:szCs w:val="24"/>
        </w:rPr>
        <w:t xml:space="preserve">f </w:t>
      </w:r>
      <w:r>
        <w:rPr>
          <w:sz w:val="24"/>
          <w:szCs w:val="24"/>
        </w:rPr>
        <w:t>any</w:t>
      </w:r>
      <w:r w:rsidRPr="00D60439">
        <w:rPr>
          <w:sz w:val="24"/>
          <w:szCs w:val="24"/>
        </w:rPr>
        <w:t xml:space="preserve"> market redesigns are implemented, in addition to a robust and transparent analysis of how the market design(s) would have impacted the ERCOT market using historic ERCOT data, a financially non-binding procurement </w:t>
      </w:r>
      <w:r>
        <w:rPr>
          <w:sz w:val="24"/>
          <w:szCs w:val="24"/>
        </w:rPr>
        <w:t xml:space="preserve">should </w:t>
      </w:r>
      <w:r w:rsidRPr="00D60439">
        <w:rPr>
          <w:sz w:val="24"/>
          <w:szCs w:val="24"/>
        </w:rPr>
        <w:t>be run to promote transparency around the market design’s mechanics. Demand response is well-suited to provide availability during the exact hours where reliability risk occurs</w:t>
      </w:r>
      <w:r>
        <w:rPr>
          <w:sz w:val="24"/>
          <w:szCs w:val="24"/>
        </w:rPr>
        <w:t>,</w:t>
      </w:r>
      <w:r w:rsidRPr="00D60439">
        <w:rPr>
          <w:sz w:val="24"/>
          <w:szCs w:val="24"/>
        </w:rPr>
        <w:t xml:space="preserve"> </w:t>
      </w:r>
      <w:r>
        <w:rPr>
          <w:sz w:val="24"/>
          <w:szCs w:val="24"/>
        </w:rPr>
        <w:t>but</w:t>
      </w:r>
      <w:r w:rsidRPr="00D60439">
        <w:rPr>
          <w:sz w:val="24"/>
          <w:szCs w:val="24"/>
        </w:rPr>
        <w:t xml:space="preserve"> the </w:t>
      </w:r>
      <w:r w:rsidRPr="00D60439">
        <w:rPr>
          <w:i/>
          <w:iCs/>
          <w:sz w:val="24"/>
          <w:szCs w:val="24"/>
        </w:rPr>
        <w:t>value</w:t>
      </w:r>
      <w:r w:rsidRPr="00D60439">
        <w:rPr>
          <w:sz w:val="24"/>
          <w:szCs w:val="24"/>
        </w:rPr>
        <w:t xml:space="preserve"> of the resource seems likely to fluctuate year to year depending on </w:t>
      </w:r>
      <w:proofErr w:type="gramStart"/>
      <w:r w:rsidRPr="00D60439">
        <w:rPr>
          <w:sz w:val="24"/>
          <w:szCs w:val="24"/>
        </w:rPr>
        <w:t>a number of</w:t>
      </w:r>
      <w:proofErr w:type="gramEnd"/>
      <w:r w:rsidRPr="00D60439">
        <w:rPr>
          <w:sz w:val="24"/>
          <w:szCs w:val="24"/>
        </w:rPr>
        <w:t xml:space="preserve"> factors. </w:t>
      </w:r>
      <w:r>
        <w:rPr>
          <w:sz w:val="24"/>
          <w:szCs w:val="24"/>
        </w:rPr>
        <w:t>Because</w:t>
      </w:r>
      <w:r w:rsidRPr="00D60439">
        <w:rPr>
          <w:sz w:val="24"/>
          <w:szCs w:val="24"/>
        </w:rPr>
        <w:t xml:space="preserve"> settlement will occur retroactively, the value of the DR resource will not be realized </w:t>
      </w:r>
      <w:r w:rsidRPr="00D60439">
        <w:rPr>
          <w:sz w:val="24"/>
          <w:szCs w:val="24"/>
        </w:rPr>
        <w:lastRenderedPageBreak/>
        <w:t>possibly for months</w:t>
      </w:r>
      <w:r>
        <w:rPr>
          <w:sz w:val="24"/>
          <w:szCs w:val="24"/>
        </w:rPr>
        <w:t>, making it challenging for customers to have a</w:t>
      </w:r>
      <w:r w:rsidRPr="00D60439">
        <w:rPr>
          <w:sz w:val="24"/>
          <w:szCs w:val="24"/>
        </w:rPr>
        <w:t xml:space="preserve"> clear understanding of the value proposition.</w:t>
      </w:r>
    </w:p>
    <w:p w14:paraId="4F848CC1" w14:textId="347B0464" w:rsidR="00D60439" w:rsidRDefault="00D60439" w:rsidP="00D60439">
      <w:pPr>
        <w:pStyle w:val="ListParagraph"/>
        <w:numPr>
          <w:ilvl w:val="0"/>
          <w:numId w:val="11"/>
        </w:numPr>
        <w:spacing w:line="276" w:lineRule="auto"/>
        <w:ind w:left="360"/>
        <w:jc w:val="both"/>
        <w:rPr>
          <w:sz w:val="24"/>
          <w:szCs w:val="24"/>
        </w:rPr>
      </w:pPr>
      <w:r w:rsidRPr="008F3E94">
        <w:rPr>
          <w:sz w:val="24"/>
          <w:szCs w:val="24"/>
        </w:rPr>
        <w:t xml:space="preserve">The PCM market design should include specific demand response resource types that best reflect the capabilities of these resources. </w:t>
      </w:r>
      <w:r w:rsidR="005846BA">
        <w:rPr>
          <w:sz w:val="24"/>
          <w:szCs w:val="24"/>
        </w:rPr>
        <w:t>The</w:t>
      </w:r>
      <w:r w:rsidRPr="008F3E94">
        <w:rPr>
          <w:sz w:val="24"/>
          <w:szCs w:val="24"/>
        </w:rPr>
        <w:t xml:space="preserve"> Commission </w:t>
      </w:r>
      <w:r w:rsidR="005846BA">
        <w:rPr>
          <w:sz w:val="24"/>
          <w:szCs w:val="24"/>
        </w:rPr>
        <w:t>should</w:t>
      </w:r>
      <w:r w:rsidRPr="008F3E94">
        <w:rPr>
          <w:sz w:val="24"/>
          <w:szCs w:val="24"/>
        </w:rPr>
        <w:t xml:space="preserve"> continue to explore additional ways </w:t>
      </w:r>
      <w:r w:rsidR="005846BA">
        <w:rPr>
          <w:sz w:val="24"/>
          <w:szCs w:val="24"/>
        </w:rPr>
        <w:t>to remove barriers to DR in ERCOT, including ERS, and ensure</w:t>
      </w:r>
      <w:r w:rsidRPr="008F3E94">
        <w:rPr>
          <w:sz w:val="24"/>
          <w:szCs w:val="24"/>
        </w:rPr>
        <w:t xml:space="preserve"> DERs are able to directly interface with ERCOT, such as expanding the work of the ADER Task Force.</w:t>
      </w:r>
    </w:p>
    <w:p w14:paraId="6E64437F" w14:textId="02BB49C2" w:rsidR="005846BA" w:rsidRDefault="005846BA" w:rsidP="005846BA">
      <w:pPr>
        <w:spacing w:line="276" w:lineRule="auto"/>
        <w:ind w:left="360" w:hanging="360"/>
        <w:jc w:val="both"/>
        <w:rPr>
          <w:sz w:val="24"/>
          <w:szCs w:val="24"/>
        </w:rPr>
      </w:pPr>
      <w:r>
        <w:rPr>
          <w:sz w:val="24"/>
          <w:szCs w:val="24"/>
        </w:rPr>
        <w:t>5. The reliability risk should be calculated at least on a seasonal basis, if not more frequent</w:t>
      </w:r>
      <w:r w:rsidR="004C58F9">
        <w:rPr>
          <w:sz w:val="24"/>
          <w:szCs w:val="24"/>
        </w:rPr>
        <w:t>ly</w:t>
      </w:r>
      <w:r>
        <w:rPr>
          <w:sz w:val="24"/>
          <w:szCs w:val="24"/>
        </w:rPr>
        <w:t xml:space="preserve">. Shorter periods will </w:t>
      </w:r>
      <w:r w:rsidR="006E536B">
        <w:rPr>
          <w:sz w:val="24"/>
          <w:szCs w:val="24"/>
        </w:rPr>
        <w:t>not eliminate the ris</w:t>
      </w:r>
      <w:r w:rsidR="003B67D0">
        <w:rPr>
          <w:sz w:val="24"/>
          <w:szCs w:val="24"/>
        </w:rPr>
        <w:t xml:space="preserve">ks discussed in Question </w:t>
      </w:r>
      <w:proofErr w:type="gramStart"/>
      <w:r w:rsidR="003B67D0">
        <w:rPr>
          <w:sz w:val="24"/>
          <w:szCs w:val="24"/>
        </w:rPr>
        <w:t>1</w:t>
      </w:r>
      <w:r w:rsidR="000E39CC">
        <w:rPr>
          <w:sz w:val="24"/>
          <w:szCs w:val="24"/>
        </w:rPr>
        <w:t>, but</w:t>
      </w:r>
      <w:proofErr w:type="gramEnd"/>
      <w:r w:rsidR="000E39CC">
        <w:rPr>
          <w:sz w:val="24"/>
          <w:szCs w:val="24"/>
        </w:rPr>
        <w:t xml:space="preserve"> </w:t>
      </w:r>
      <w:r w:rsidR="0029743A">
        <w:rPr>
          <w:sz w:val="24"/>
          <w:szCs w:val="24"/>
        </w:rPr>
        <w:t xml:space="preserve">could </w:t>
      </w:r>
      <w:r>
        <w:rPr>
          <w:sz w:val="24"/>
          <w:szCs w:val="24"/>
        </w:rPr>
        <w:t>help mitigate some of the uncertainty inherent in the PCM proposal.</w:t>
      </w:r>
    </w:p>
    <w:p w14:paraId="79EFC500" w14:textId="7718DB73" w:rsidR="005846BA" w:rsidRDefault="005846BA" w:rsidP="005846BA">
      <w:pPr>
        <w:spacing w:line="276" w:lineRule="auto"/>
        <w:ind w:left="360" w:hanging="360"/>
        <w:jc w:val="both"/>
        <w:rPr>
          <w:sz w:val="24"/>
          <w:szCs w:val="24"/>
        </w:rPr>
      </w:pPr>
      <w:r>
        <w:rPr>
          <w:sz w:val="24"/>
          <w:szCs w:val="24"/>
        </w:rPr>
        <w:t xml:space="preserve">9. </w:t>
      </w:r>
      <w:r w:rsidRPr="008F3E94">
        <w:rPr>
          <w:sz w:val="24"/>
          <w:szCs w:val="24"/>
        </w:rPr>
        <w:t>AEMA strongly encourages the Commission to grow demand-side resources as an initial solution to immediately address grid reliability. These resources are cost-competitive, able to be aggregated in a matter of days or weeks and can meaningfully reduce peak load.</w:t>
      </w:r>
    </w:p>
    <w:p w14:paraId="68E29C7C" w14:textId="77777777" w:rsidR="005846BA" w:rsidRPr="005846BA" w:rsidRDefault="005846BA" w:rsidP="005846BA">
      <w:pPr>
        <w:spacing w:line="276" w:lineRule="auto"/>
        <w:ind w:left="360" w:hanging="360"/>
        <w:jc w:val="both"/>
        <w:rPr>
          <w:sz w:val="24"/>
          <w:szCs w:val="24"/>
        </w:rPr>
      </w:pPr>
    </w:p>
    <w:sectPr w:rsidR="005846BA" w:rsidRPr="005846B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2C792" w14:textId="77777777" w:rsidR="004B0AF8" w:rsidRDefault="004B0AF8">
      <w:r>
        <w:separator/>
      </w:r>
    </w:p>
  </w:endnote>
  <w:endnote w:type="continuationSeparator" w:id="0">
    <w:p w14:paraId="38C14E2F" w14:textId="77777777" w:rsidR="004B0AF8" w:rsidRDefault="004B0AF8">
      <w:r>
        <w:continuationSeparator/>
      </w:r>
    </w:p>
  </w:endnote>
  <w:endnote w:type="continuationNotice" w:id="1">
    <w:p w14:paraId="5C6A6284" w14:textId="77777777" w:rsidR="004B0AF8" w:rsidRDefault="004B0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venir Heavy">
    <w:altName w:val="Calibri"/>
    <w:panose1 w:val="020B0703020203020204"/>
    <w:charset w:val="4D"/>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9" w14:textId="77777777" w:rsidR="006864CF" w:rsidRDefault="006864C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B" w14:textId="1203AD35" w:rsidR="006864CF" w:rsidRDefault="007C5C8E">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463AFE">
      <w:rPr>
        <w:noProof/>
        <w:color w:val="000000"/>
        <w:sz w:val="24"/>
        <w:szCs w:val="24"/>
      </w:rPr>
      <w:t>2</w:t>
    </w:r>
    <w:r>
      <w:rPr>
        <w:color w:val="000000"/>
        <w:sz w:val="24"/>
        <w:szCs w:val="24"/>
      </w:rPr>
      <w:fldChar w:fldCharType="end"/>
    </w:r>
  </w:p>
  <w:p w14:paraId="0000006C" w14:textId="77777777" w:rsidR="006864CF" w:rsidRDefault="006864C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A" w14:textId="77777777" w:rsidR="006864CF" w:rsidRDefault="006864C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0F117" w14:textId="77777777" w:rsidR="004B0AF8" w:rsidRDefault="004B0AF8">
      <w:r>
        <w:separator/>
      </w:r>
    </w:p>
  </w:footnote>
  <w:footnote w:type="continuationSeparator" w:id="0">
    <w:p w14:paraId="618D23B0" w14:textId="77777777" w:rsidR="004B0AF8" w:rsidRDefault="004B0AF8">
      <w:r>
        <w:continuationSeparator/>
      </w:r>
    </w:p>
  </w:footnote>
  <w:footnote w:type="continuationNotice" w:id="1">
    <w:p w14:paraId="35608338" w14:textId="77777777" w:rsidR="004B0AF8" w:rsidRDefault="004B0AF8"/>
  </w:footnote>
  <w:footnote w:id="2">
    <w:p w14:paraId="02F7DCDD" w14:textId="2290C6B9" w:rsidR="00445F29" w:rsidRPr="001B14E4" w:rsidRDefault="00445F29">
      <w:pPr>
        <w:pStyle w:val="FootnoteText"/>
        <w:rPr>
          <w:rFonts w:ascii="Times New Roman" w:hAnsi="Times New Roman"/>
        </w:rPr>
      </w:pPr>
      <w:r w:rsidRPr="001B14E4">
        <w:rPr>
          <w:rStyle w:val="FootnoteReference"/>
          <w:rFonts w:ascii="Times New Roman" w:hAnsi="Times New Roman"/>
        </w:rPr>
        <w:footnoteRef/>
      </w:r>
      <w:r w:rsidRPr="001B14E4">
        <w:rPr>
          <w:rFonts w:ascii="Times New Roman" w:hAnsi="Times New Roman"/>
        </w:rPr>
        <w:t xml:space="preserve"> </w:t>
      </w:r>
      <w:proofErr w:type="spellStart"/>
      <w:r w:rsidR="007B28FA">
        <w:rPr>
          <w:rFonts w:ascii="Times New Roman" w:hAnsi="Times New Roman"/>
        </w:rPr>
        <w:t>E</w:t>
      </w:r>
      <w:r w:rsidR="00B40FA3">
        <w:rPr>
          <w:rFonts w:ascii="Times New Roman" w:hAnsi="Times New Roman"/>
        </w:rPr>
        <w:t>nergy+Environmenta</w:t>
      </w:r>
      <w:r w:rsidR="00F52817">
        <w:rPr>
          <w:rFonts w:ascii="Times New Roman" w:hAnsi="Times New Roman"/>
        </w:rPr>
        <w:t>l</w:t>
      </w:r>
      <w:proofErr w:type="spellEnd"/>
      <w:r w:rsidR="00B40FA3">
        <w:rPr>
          <w:rFonts w:ascii="Times New Roman" w:hAnsi="Times New Roman"/>
        </w:rPr>
        <w:t xml:space="preserve"> Economics</w:t>
      </w:r>
      <w:r w:rsidR="00F52817">
        <w:rPr>
          <w:rFonts w:ascii="Times New Roman" w:hAnsi="Times New Roman"/>
        </w:rPr>
        <w:t xml:space="preserve">, </w:t>
      </w:r>
      <w:r w:rsidR="00F52817">
        <w:rPr>
          <w:rFonts w:ascii="Times New Roman" w:hAnsi="Times New Roman"/>
          <w:i/>
          <w:iCs/>
        </w:rPr>
        <w:t xml:space="preserve">Assessment of Market Reform Options to Enhance Reliability in the ERCOT </w:t>
      </w:r>
      <w:r w:rsidR="00F52817" w:rsidRPr="001B14E4">
        <w:rPr>
          <w:rFonts w:ascii="Times New Roman" w:hAnsi="Times New Roman"/>
        </w:rPr>
        <w:t>System</w:t>
      </w:r>
      <w:r w:rsidR="007B28FA" w:rsidRPr="00F52817">
        <w:rPr>
          <w:rFonts w:ascii="Times New Roman" w:hAnsi="Times New Roman"/>
        </w:rPr>
        <w:t>3</w:t>
      </w:r>
      <w:r w:rsidR="007B28FA">
        <w:rPr>
          <w:rFonts w:ascii="Times New Roman" w:hAnsi="Times New Roman"/>
        </w:rPr>
        <w:t xml:space="preserve"> Report, </w:t>
      </w:r>
      <w:r w:rsidR="00CA4A30">
        <w:rPr>
          <w:rFonts w:ascii="Times New Roman" w:hAnsi="Times New Roman"/>
        </w:rPr>
        <w:t xml:space="preserve">filed in Project No. 52373, </w:t>
      </w:r>
      <w:r w:rsidR="00AE6E75">
        <w:rPr>
          <w:rFonts w:ascii="Times New Roman" w:hAnsi="Times New Roman"/>
          <w:i/>
          <w:iCs/>
        </w:rPr>
        <w:t xml:space="preserve">Review of Wholesale Electric </w:t>
      </w:r>
      <w:r w:rsidR="00AE6E75" w:rsidRPr="00AE6E75">
        <w:rPr>
          <w:rFonts w:ascii="Times New Roman" w:hAnsi="Times New Roman"/>
          <w:i/>
          <w:iCs/>
        </w:rPr>
        <w:t>Market Design</w:t>
      </w:r>
      <w:r w:rsidR="00AE6E75">
        <w:rPr>
          <w:rFonts w:ascii="Times New Roman" w:hAnsi="Times New Roman"/>
        </w:rPr>
        <w:t xml:space="preserve">, </w:t>
      </w:r>
      <w:r w:rsidR="00E0529F">
        <w:rPr>
          <w:rFonts w:ascii="Times New Roman" w:hAnsi="Times New Roman"/>
        </w:rPr>
        <w:t xml:space="preserve">Nov. 10, 2022 (hereinafter E3 Report), </w:t>
      </w:r>
      <w:r w:rsidRPr="001B14E4">
        <w:rPr>
          <w:rFonts w:ascii="Times New Roman" w:hAnsi="Times New Roman"/>
        </w:rPr>
        <w:t>Table 2, at p. 4.</w:t>
      </w:r>
    </w:p>
  </w:footnote>
  <w:footnote w:id="3">
    <w:p w14:paraId="076991FF" w14:textId="7B8D80F0" w:rsidR="00445F29" w:rsidRPr="001B14E4" w:rsidRDefault="00445F29">
      <w:pPr>
        <w:pStyle w:val="FootnoteText"/>
        <w:rPr>
          <w:rFonts w:ascii="Times New Roman" w:hAnsi="Times New Roman"/>
        </w:rPr>
      </w:pPr>
      <w:r w:rsidRPr="001B14E4">
        <w:rPr>
          <w:rStyle w:val="FootnoteReference"/>
          <w:rFonts w:ascii="Times New Roman" w:hAnsi="Times New Roman"/>
        </w:rPr>
        <w:footnoteRef/>
      </w:r>
      <w:r w:rsidRPr="001B14E4">
        <w:rPr>
          <w:rFonts w:ascii="Times New Roman" w:hAnsi="Times New Roman"/>
        </w:rPr>
        <w:t xml:space="preserve"> </w:t>
      </w:r>
      <w:r w:rsidR="007B28FA">
        <w:rPr>
          <w:rFonts w:ascii="Times New Roman" w:hAnsi="Times New Roman"/>
          <w:i/>
          <w:iCs/>
        </w:rPr>
        <w:t xml:space="preserve">Ibid., </w:t>
      </w:r>
      <w:r w:rsidRPr="001B14E4">
        <w:rPr>
          <w:rFonts w:ascii="Times New Roman" w:hAnsi="Times New Roman"/>
        </w:rPr>
        <w:t>Table 17, at p. 52</w:t>
      </w:r>
    </w:p>
  </w:footnote>
  <w:footnote w:id="4">
    <w:p w14:paraId="0BB1F1CE" w14:textId="32F493A7" w:rsidR="008D631F" w:rsidRPr="001B14E4" w:rsidRDefault="008D631F">
      <w:pPr>
        <w:pStyle w:val="FootnoteText"/>
        <w:rPr>
          <w:rFonts w:ascii="Times New Roman" w:hAnsi="Times New Roman"/>
        </w:rPr>
      </w:pPr>
      <w:r w:rsidRPr="001B14E4">
        <w:rPr>
          <w:rStyle w:val="FootnoteReference"/>
          <w:rFonts w:ascii="Times New Roman" w:hAnsi="Times New Roman"/>
        </w:rPr>
        <w:footnoteRef/>
      </w:r>
      <w:r w:rsidRPr="001B14E4">
        <w:rPr>
          <w:rFonts w:ascii="Times New Roman" w:hAnsi="Times New Roman"/>
        </w:rPr>
        <w:t xml:space="preserve"> </w:t>
      </w:r>
      <w:r w:rsidR="00983E05">
        <w:rPr>
          <w:rFonts w:ascii="Times New Roman" w:hAnsi="Times New Roman"/>
          <w:i/>
          <w:iCs/>
        </w:rPr>
        <w:t xml:space="preserve">Ibid., </w:t>
      </w:r>
      <w:r w:rsidR="00211F9B">
        <w:rPr>
          <w:rFonts w:ascii="Times New Roman" w:hAnsi="Times New Roman"/>
        </w:rPr>
        <w:t>p</w:t>
      </w:r>
      <w:r w:rsidRPr="001B14E4">
        <w:rPr>
          <w:rFonts w:ascii="Times New Roman" w:hAnsi="Times New Roman"/>
        </w:rPr>
        <w:t>.90</w:t>
      </w:r>
    </w:p>
  </w:footnote>
  <w:footnote w:id="5">
    <w:p w14:paraId="6E9F9104" w14:textId="6BD13170" w:rsidR="00BE2F93" w:rsidRPr="001B14E4" w:rsidRDefault="00BE2F93">
      <w:pPr>
        <w:pStyle w:val="FootnoteText"/>
        <w:rPr>
          <w:rFonts w:ascii="Times New Roman" w:hAnsi="Times New Roman"/>
        </w:rPr>
      </w:pPr>
      <w:r w:rsidRPr="001B14E4">
        <w:rPr>
          <w:rStyle w:val="FootnoteReference"/>
          <w:rFonts w:ascii="Times New Roman" w:hAnsi="Times New Roman"/>
        </w:rPr>
        <w:footnoteRef/>
      </w:r>
      <w:r w:rsidRPr="001B14E4">
        <w:rPr>
          <w:rFonts w:ascii="Times New Roman" w:hAnsi="Times New Roman"/>
        </w:rPr>
        <w:t xml:space="preserve"> </w:t>
      </w:r>
      <w:r w:rsidR="00983E05">
        <w:rPr>
          <w:rFonts w:ascii="Times New Roman" w:hAnsi="Times New Roman"/>
          <w:i/>
          <w:iCs/>
        </w:rPr>
        <w:t xml:space="preserve">Ibid., </w:t>
      </w:r>
      <w:r w:rsidR="00211F9B">
        <w:rPr>
          <w:rFonts w:ascii="Times New Roman" w:hAnsi="Times New Roman"/>
        </w:rPr>
        <w:t>p</w:t>
      </w:r>
      <w:r w:rsidRPr="001B14E4">
        <w:rPr>
          <w:rFonts w:ascii="Times New Roman" w:hAnsi="Times New Roman"/>
        </w:rPr>
        <w:t>. 67</w:t>
      </w:r>
    </w:p>
  </w:footnote>
  <w:footnote w:id="6">
    <w:p w14:paraId="2A54EF59" w14:textId="7E56ED9E" w:rsidR="008D631F" w:rsidRPr="001B14E4" w:rsidRDefault="008D631F">
      <w:pPr>
        <w:pStyle w:val="FootnoteText"/>
        <w:rPr>
          <w:rFonts w:ascii="Times New Roman" w:hAnsi="Times New Roman"/>
        </w:rPr>
      </w:pPr>
      <w:r w:rsidRPr="001B14E4">
        <w:rPr>
          <w:rStyle w:val="FootnoteReference"/>
          <w:rFonts w:ascii="Times New Roman" w:hAnsi="Times New Roman"/>
        </w:rPr>
        <w:footnoteRef/>
      </w:r>
      <w:r w:rsidRPr="001B14E4">
        <w:rPr>
          <w:rFonts w:ascii="Times New Roman" w:hAnsi="Times New Roman"/>
        </w:rPr>
        <w:t xml:space="preserve"> </w:t>
      </w:r>
      <w:r w:rsidR="000E35C9" w:rsidRPr="001B14E4">
        <w:rPr>
          <w:rFonts w:ascii="Times New Roman" w:hAnsi="Times New Roman"/>
        </w:rPr>
        <w:t>Comments of Advanced Energy Management Alliance</w:t>
      </w:r>
      <w:r w:rsidR="006175C9" w:rsidRPr="001B14E4">
        <w:rPr>
          <w:rFonts w:ascii="Times New Roman" w:hAnsi="Times New Roman"/>
        </w:rPr>
        <w:t xml:space="preserve">, </w:t>
      </w:r>
      <w:r w:rsidR="00EB283D" w:rsidRPr="001B14E4">
        <w:rPr>
          <w:rFonts w:ascii="Times New Roman" w:hAnsi="Times New Roman"/>
        </w:rPr>
        <w:t xml:space="preserve">filed in </w:t>
      </w:r>
      <w:r w:rsidR="006175C9" w:rsidRPr="001B14E4">
        <w:rPr>
          <w:rFonts w:ascii="Times New Roman" w:hAnsi="Times New Roman"/>
        </w:rPr>
        <w:t xml:space="preserve">Project No. 52373, </w:t>
      </w:r>
      <w:r w:rsidR="006175C9" w:rsidRPr="001B14E4">
        <w:rPr>
          <w:rFonts w:ascii="Times New Roman" w:hAnsi="Times New Roman"/>
          <w:i/>
          <w:iCs/>
        </w:rPr>
        <w:t>Review of Wholesale Electric Market Design,</w:t>
      </w:r>
      <w:r w:rsidR="006175C9" w:rsidRPr="001B14E4">
        <w:rPr>
          <w:rFonts w:ascii="Times New Roman" w:hAnsi="Times New Roman"/>
        </w:rPr>
        <w:t xml:space="preserve"> </w:t>
      </w:r>
      <w:r w:rsidR="00EB283D" w:rsidRPr="001B14E4">
        <w:rPr>
          <w:rFonts w:ascii="Times New Roman" w:hAnsi="Times New Roman"/>
        </w:rPr>
        <w:t xml:space="preserve">(Aug. 16, 2021). </w:t>
      </w:r>
    </w:p>
  </w:footnote>
  <w:footnote w:id="7">
    <w:p w14:paraId="2D4E15FE" w14:textId="53628DFC" w:rsidR="00E9634D" w:rsidRPr="001B14E4" w:rsidRDefault="00E9634D">
      <w:pPr>
        <w:pStyle w:val="FootnoteText"/>
        <w:rPr>
          <w:rFonts w:ascii="Times New Roman" w:hAnsi="Times New Roman"/>
          <w:lang w:val="es-ES"/>
        </w:rPr>
      </w:pPr>
      <w:r w:rsidRPr="001B14E4">
        <w:rPr>
          <w:rStyle w:val="FootnoteReference"/>
          <w:rFonts w:ascii="Times New Roman" w:hAnsi="Times New Roman"/>
        </w:rPr>
        <w:footnoteRef/>
      </w:r>
      <w:r w:rsidRPr="001B14E4">
        <w:rPr>
          <w:rFonts w:ascii="Times New Roman" w:hAnsi="Times New Roman"/>
          <w:lang w:val="es-ES"/>
        </w:rPr>
        <w:t xml:space="preserve"> </w:t>
      </w:r>
      <w:r w:rsidR="00983E05" w:rsidRPr="001B14E4">
        <w:rPr>
          <w:rFonts w:ascii="Times New Roman" w:hAnsi="Times New Roman"/>
          <w:lang w:val="es-ES"/>
        </w:rPr>
        <w:t xml:space="preserve">E3 </w:t>
      </w:r>
      <w:proofErr w:type="spellStart"/>
      <w:r w:rsidR="00983E05" w:rsidRPr="001B14E4">
        <w:rPr>
          <w:rFonts w:ascii="Times New Roman" w:hAnsi="Times New Roman"/>
          <w:lang w:val="es-ES"/>
        </w:rPr>
        <w:t>Report</w:t>
      </w:r>
      <w:proofErr w:type="spellEnd"/>
      <w:r w:rsidR="00983E05" w:rsidRPr="001B14E4">
        <w:rPr>
          <w:rFonts w:ascii="Times New Roman" w:hAnsi="Times New Roman"/>
          <w:lang w:val="es-ES"/>
        </w:rPr>
        <w:t xml:space="preserve">, </w:t>
      </w:r>
      <w:r w:rsidR="00211F9B">
        <w:rPr>
          <w:rFonts w:ascii="Times New Roman" w:hAnsi="Times New Roman"/>
          <w:lang w:val="es-ES"/>
        </w:rPr>
        <w:t>p</w:t>
      </w:r>
      <w:r w:rsidRPr="001B14E4">
        <w:rPr>
          <w:rFonts w:ascii="Times New Roman" w:hAnsi="Times New Roman"/>
          <w:lang w:val="es-ES"/>
        </w:rPr>
        <w:t>. 33</w:t>
      </w:r>
    </w:p>
  </w:footnote>
  <w:footnote w:id="8">
    <w:p w14:paraId="62144FB6" w14:textId="06EDDB2F" w:rsidR="007D1E3C" w:rsidRPr="001B14E4" w:rsidRDefault="007D1E3C">
      <w:pPr>
        <w:pStyle w:val="FootnoteText"/>
        <w:rPr>
          <w:rFonts w:ascii="Times New Roman" w:hAnsi="Times New Roman"/>
          <w:lang w:val="es-ES"/>
        </w:rPr>
      </w:pPr>
      <w:r w:rsidRPr="001B14E4">
        <w:rPr>
          <w:rStyle w:val="FootnoteReference"/>
          <w:rFonts w:ascii="Times New Roman" w:hAnsi="Times New Roman"/>
        </w:rPr>
        <w:footnoteRef/>
      </w:r>
      <w:r w:rsidRPr="001B14E4">
        <w:rPr>
          <w:rFonts w:ascii="Times New Roman" w:hAnsi="Times New Roman"/>
          <w:lang w:val="es-ES"/>
        </w:rPr>
        <w:t xml:space="preserve"> </w:t>
      </w:r>
      <w:proofErr w:type="spellStart"/>
      <w:r w:rsidR="00983E05" w:rsidRPr="001B14E4">
        <w:rPr>
          <w:rFonts w:ascii="Times New Roman" w:hAnsi="Times New Roman"/>
          <w:i/>
          <w:iCs/>
          <w:lang w:val="es-ES"/>
        </w:rPr>
        <w:t>Ibid</w:t>
      </w:r>
      <w:proofErr w:type="spellEnd"/>
      <w:r w:rsidR="00983E05" w:rsidRPr="001B14E4">
        <w:rPr>
          <w:rFonts w:ascii="Times New Roman" w:hAnsi="Times New Roman"/>
          <w:i/>
          <w:iCs/>
          <w:lang w:val="es-ES"/>
        </w:rPr>
        <w:t xml:space="preserve">., </w:t>
      </w:r>
      <w:r w:rsidR="00211F9B">
        <w:rPr>
          <w:rFonts w:ascii="Times New Roman" w:hAnsi="Times New Roman"/>
          <w:lang w:val="es-ES"/>
        </w:rPr>
        <w:t>p</w:t>
      </w:r>
      <w:r w:rsidRPr="001B14E4">
        <w:rPr>
          <w:rFonts w:ascii="Times New Roman" w:hAnsi="Times New Roman"/>
          <w:lang w:val="es-ES"/>
        </w:rPr>
        <w:t>. 56</w:t>
      </w:r>
    </w:p>
  </w:footnote>
  <w:footnote w:id="9">
    <w:p w14:paraId="03A6F617" w14:textId="0F65C5F9" w:rsidR="007D1E3C" w:rsidRPr="002C18D3" w:rsidRDefault="007D1E3C">
      <w:pPr>
        <w:pStyle w:val="FootnoteText"/>
        <w:rPr>
          <w:rFonts w:ascii="Times New Roman" w:hAnsi="Times New Roman"/>
          <w:lang w:val="es-ES"/>
        </w:rPr>
      </w:pPr>
      <w:r>
        <w:rPr>
          <w:rStyle w:val="FootnoteReference"/>
        </w:rPr>
        <w:footnoteRef/>
      </w:r>
      <w:r w:rsidRPr="00211F9B">
        <w:rPr>
          <w:lang w:val="es-ES"/>
        </w:rPr>
        <w:t xml:space="preserve"> </w:t>
      </w:r>
      <w:r w:rsidR="004B0AF8">
        <w:fldChar w:fldCharType="begin"/>
      </w:r>
      <w:r w:rsidR="004B0AF8" w:rsidRPr="0069502C">
        <w:rPr>
          <w:lang w:val="es-ES"/>
        </w:rPr>
        <w:instrText xml:space="preserve"> HYPERLINK "https://www.puc.texas.gov/industry/projects/electric/38578/38578.aspx" </w:instrText>
      </w:r>
      <w:r w:rsidR="004B0AF8">
        <w:fldChar w:fldCharType="separate"/>
      </w:r>
      <w:r w:rsidRPr="002C18D3">
        <w:rPr>
          <w:rStyle w:val="Hyperlink"/>
          <w:rFonts w:ascii="Times New Roman" w:hAnsi="Times New Roman"/>
          <w:lang w:val="es-ES"/>
        </w:rPr>
        <w:t>https://www.puc.texas.gov/industry/projects/electric/38578/38578.aspx</w:t>
      </w:r>
      <w:r w:rsidR="004B0AF8">
        <w:rPr>
          <w:rStyle w:val="Hyperlink"/>
          <w:rFonts w:ascii="Times New Roman" w:hAnsi="Times New Roman"/>
          <w:lang w:val="es-ES"/>
        </w:rPr>
        <w:fldChar w:fldCharType="end"/>
      </w:r>
      <w:r w:rsidR="005C46D3" w:rsidRPr="002C18D3">
        <w:rPr>
          <w:rStyle w:val="Hyperlink"/>
          <w:rFonts w:ascii="Times New Roman" w:hAnsi="Times New Roman"/>
          <w:lang w:val="es-ES"/>
        </w:rPr>
        <w:t>.</w:t>
      </w:r>
      <w:r w:rsidRPr="002C18D3">
        <w:rPr>
          <w:rFonts w:ascii="Times New Roman" w:hAnsi="Times New Roman"/>
          <w:lang w:val="es-ES"/>
        </w:rPr>
        <w:t xml:space="preserve"> </w:t>
      </w:r>
    </w:p>
  </w:footnote>
  <w:footnote w:id="10">
    <w:p w14:paraId="6260F8F1" w14:textId="187B1502" w:rsidR="007D1E3C" w:rsidRDefault="007D1E3C">
      <w:pPr>
        <w:pStyle w:val="FootnoteText"/>
      </w:pPr>
      <w:r>
        <w:rPr>
          <w:rStyle w:val="FootnoteReference"/>
        </w:rPr>
        <w:footnoteRef/>
      </w:r>
      <w:r>
        <w:t xml:space="preserve"> </w:t>
      </w:r>
      <w:r w:rsidR="004052E7" w:rsidRPr="002C18D3">
        <w:rPr>
          <w:rFonts w:ascii="Times New Roman" w:hAnsi="Times New Roman"/>
        </w:rPr>
        <w:t xml:space="preserve">Petition of Lone Star Chapter of the Sierra Club to Initiate Rulemaking to Amend PUC Subst. 25.181 (Energy Efficiency Goal) and 25.182 (Energy Efficiency Cost Recovery Factor), Project No. </w:t>
      </w:r>
      <w:r w:rsidR="007D3C2C" w:rsidRPr="002C18D3">
        <w:rPr>
          <w:rFonts w:ascii="Times New Roman" w:hAnsi="Times New Roman"/>
        </w:rPr>
        <w:t>53971 (Aug. 17, 2022) at</w:t>
      </w:r>
      <w:r w:rsidR="00F274C8" w:rsidRPr="002C18D3">
        <w:rPr>
          <w:rFonts w:ascii="Times New Roman" w:hAnsi="Times New Roman"/>
        </w:rPr>
        <w:t xml:space="preserve"> p. 9</w:t>
      </w:r>
      <w:r w:rsidR="00F274C8">
        <w:t xml:space="preserve">. </w:t>
      </w:r>
    </w:p>
  </w:footnote>
  <w:footnote w:id="11">
    <w:p w14:paraId="195284E3" w14:textId="4A9A5394" w:rsidR="005C4593" w:rsidRPr="002C18D3" w:rsidRDefault="005C4593">
      <w:pPr>
        <w:pStyle w:val="FootnoteText"/>
        <w:rPr>
          <w:rFonts w:ascii="Times New Roman" w:hAnsi="Times New Roman"/>
        </w:rPr>
      </w:pPr>
      <w:r w:rsidRPr="002C18D3">
        <w:rPr>
          <w:rStyle w:val="FootnoteReference"/>
          <w:rFonts w:ascii="Times New Roman" w:hAnsi="Times New Roman"/>
        </w:rPr>
        <w:footnoteRef/>
      </w:r>
      <w:r w:rsidRPr="002C18D3">
        <w:rPr>
          <w:rFonts w:ascii="Times New Roman" w:hAnsi="Times New Roman"/>
        </w:rPr>
        <w:t xml:space="preserve"> </w:t>
      </w:r>
      <w:r w:rsidR="005846BA" w:rsidRPr="002C18D3">
        <w:rPr>
          <w:rFonts w:ascii="Times New Roman" w:hAnsi="Times New Roman"/>
        </w:rPr>
        <w:t xml:space="preserve">See, for example, Project No. 52373, Review of Wholesale Market Design, Comments of AEMA (Aug.16, 2021): </w:t>
      </w:r>
      <w:hyperlink r:id="rId1" w:history="1">
        <w:r w:rsidR="00AF3E78" w:rsidRPr="002C18D3">
          <w:rPr>
            <w:rStyle w:val="Hyperlink"/>
            <w:rFonts w:ascii="Times New Roman" w:hAnsi="Times New Roman"/>
          </w:rPr>
          <w:t>https://interchange.puc.texas.gov/Documents/52373_24_1147630.PDF</w:t>
        </w:r>
      </w:hyperlink>
      <w:r w:rsidR="00725A07">
        <w:rPr>
          <w:rFonts w:ascii="Times New Roman" w:hAnsi="Times New Roman"/>
        </w:rPr>
        <w:t>.</w:t>
      </w:r>
      <w:r w:rsidR="00AF3E78">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7" w14:textId="77777777" w:rsidR="006864CF" w:rsidRDefault="007C5C8E">
    <w:pPr>
      <w:pBdr>
        <w:top w:val="nil"/>
        <w:left w:val="nil"/>
        <w:bottom w:val="nil"/>
        <w:right w:val="nil"/>
        <w:between w:val="nil"/>
      </w:pBdr>
      <w:tabs>
        <w:tab w:val="center" w:pos="4680"/>
        <w:tab w:val="right" w:pos="9360"/>
      </w:tabs>
      <w:rPr>
        <w:color w:val="000000"/>
      </w:rPr>
    </w:pPr>
    <w:r>
      <w:rPr>
        <w:noProof/>
        <w:color w:val="000000"/>
      </w:rPr>
      <mc:AlternateContent>
        <mc:Choice Requires="wps">
          <w:drawing>
            <wp:anchor distT="0" distB="0" distL="114300" distR="114300" simplePos="0" relativeHeight="251658242" behindDoc="1" locked="0" layoutInCell="1" hidden="0" allowOverlap="1" wp14:anchorId="154113A1" wp14:editId="7C9AC42D">
              <wp:simplePos x="0" y="0"/>
              <wp:positionH relativeFrom="margin">
                <wp:align>center</wp:align>
              </wp:positionH>
              <wp:positionV relativeFrom="margin">
                <wp:align>center</wp:align>
              </wp:positionV>
              <wp:extent cx="5938643" cy="5938643"/>
              <wp:effectExtent l="0" t="0" r="0" b="0"/>
              <wp:wrapNone/>
              <wp:docPr id="3" name="Rectangle 3"/>
              <wp:cNvGraphicFramePr/>
              <a:graphic xmlns:a="http://schemas.openxmlformats.org/drawingml/2006/main">
                <a:graphicData uri="http://schemas.microsoft.com/office/word/2010/wordprocessingShape">
                  <wps:wsp>
                    <wps:cNvSpPr/>
                    <wps:spPr>
                      <a:xfrm rot="-2700000">
                        <a:off x="2353245" y="2583025"/>
                        <a:ext cx="5985510" cy="2393950"/>
                      </a:xfrm>
                      <a:prstGeom prst="rect">
                        <a:avLst/>
                      </a:prstGeom>
                    </wps:spPr>
                    <wps:txbx>
                      <w:txbxContent>
                        <w:p w14:paraId="0B937051" w14:textId="77777777" w:rsidR="006864CF" w:rsidRDefault="007C5C8E">
                          <w:pPr>
                            <w:jc w:val="center"/>
                            <w:textDirection w:val="btLr"/>
                          </w:pPr>
                          <w:r>
                            <w:rPr>
                              <w:color w:val="C0C0C0"/>
                              <w:sz w:val="144"/>
                            </w:rPr>
                            <w:t>DRAFT</w:t>
                          </w:r>
                        </w:p>
                      </w:txbxContent>
                    </wps:txbx>
                    <wps:bodyPr spcFirstLastPara="1" wrap="square" lIns="91425" tIns="91425" rIns="91425" bIns="91425" anchor="ctr" anchorCtr="0">
                      <a:noAutofit/>
                    </wps:bodyPr>
                  </wps:wsp>
                </a:graphicData>
              </a:graphic>
            </wp:anchor>
          </w:drawing>
        </mc:Choice>
        <mc:Fallback>
          <w:pict>
            <v:rect w14:anchorId="154113A1" id="Rectangle 3" o:spid="_x0000_s1026" style="position:absolute;margin-left:0;margin-top:0;width:467.6pt;height:467.6pt;rotation:-45;z-index:-251658238;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" filled="f" stroked="f">
              <v:textbox inset="2.53958mm,2.53958mm,2.53958mm,2.53958mm">
                <w:txbxContent>
                  <w:p w14:paraId="0B937051" w14:textId="77777777" w:rsidR="006864CF" w:rsidRDefault="007C5C8E">
                    <w:pPr>
                      <w:jc w:val="center"/>
                      <w:textDirection w:val="btLr"/>
                    </w:pPr>
                    <w:r>
                      <w:rPr>
                        <w:color w:val="C0C0C0"/>
                        <w:sz w:val="144"/>
                      </w:rPr>
                      <w:t>DRAFT</w:t>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6" w14:textId="78706655" w:rsidR="006864CF" w:rsidRDefault="00534F0E">
    <w:pPr>
      <w:pBdr>
        <w:top w:val="nil"/>
        <w:left w:val="nil"/>
        <w:bottom w:val="nil"/>
        <w:right w:val="nil"/>
        <w:between w:val="nil"/>
      </w:pBdr>
      <w:tabs>
        <w:tab w:val="center" w:pos="4680"/>
        <w:tab w:val="right" w:pos="9360"/>
      </w:tabs>
      <w:rPr>
        <w:color w:val="000000"/>
      </w:rPr>
    </w:pPr>
    <w:r>
      <w:rPr>
        <w:noProof/>
        <w:color w:val="000000"/>
      </w:rPr>
      <mc:AlternateContent>
        <mc:Choice Requires="wps">
          <w:drawing>
            <wp:anchor distT="0" distB="0" distL="114300" distR="114300" simplePos="0" relativeHeight="251658243" behindDoc="0" locked="0" layoutInCell="0" allowOverlap="1" wp14:anchorId="0B12C71D" wp14:editId="796EF067">
              <wp:simplePos x="0" y="0"/>
              <wp:positionH relativeFrom="page">
                <wp:posOffset>0</wp:posOffset>
              </wp:positionH>
              <wp:positionV relativeFrom="page">
                <wp:posOffset>190500</wp:posOffset>
              </wp:positionV>
              <wp:extent cx="7772400" cy="252095"/>
              <wp:effectExtent l="0" t="0" r="0" b="14605"/>
              <wp:wrapNone/>
              <wp:docPr id="4" name="MSIPCM1f314fabae663f59d87bfe42" descr="{&quot;HashCode&quot;:-75512786,&quot;Height&quot;:792.0,&quot;Width&quot;:61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42D40B" w14:textId="38D1B895" w:rsidR="00534F0E" w:rsidRPr="00534F0E" w:rsidRDefault="00534F0E" w:rsidP="00534F0E">
                          <w:pPr>
                            <w:jc w:val="center"/>
                            <w:rPr>
                              <w:rFonts w:ascii="Arial" w:hAnsi="Arial" w:cs="Arial"/>
                              <w:color w:val="000000"/>
                              <w:sz w:val="16"/>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oel="http://schemas.microsoft.com/office/2019/extlst">
          <w:pict>
            <v:shapetype w14:anchorId="0B12C71D" id="_x0000_t202" coordsize="21600,21600" o:spt="202" path="m,l,21600r21600,l21600,xe">
              <v:stroke joinstyle="miter"/>
              <v:path gradientshapeok="t" o:connecttype="rect"/>
            </v:shapetype>
            <v:shape id="MSIPCM1f314fabae663f59d87bfe42" o:spid="_x0000_s1027" type="#_x0000_t202" alt="{&quot;HashCode&quot;:-75512786,&quot;Height&quot;:792.0,&quot;Width&quot;:612.0,&quot;Placement&quot;:&quot;Header&quot;,&quot;Index&quot;:&quot;Primary&quot;,&quot;Section&quot;:1,&quot;Top&quot;:0.0,&quot;Left&quot;:0.0}" style="position:absolute;margin-left:0;margin-top:15pt;width:612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" o:allowincell="f" filled="f" stroked="f" strokeweight=".5pt">
              <v:textbox inset=",0,,0">
                <w:txbxContent>
                  <w:p w14:paraId="4842D40B" w14:textId="38D1B895" w:rsidR="00534F0E" w:rsidRPr="00534F0E" w:rsidRDefault="00534F0E" w:rsidP="00534F0E">
                    <w:pPr>
                      <w:jc w:val="center"/>
                      <w:rPr>
                        <w:rFonts w:ascii="Arial" w:hAnsi="Arial" w:cs="Arial"/>
                        <w:color w:val="000000"/>
                        <w:sz w:val="16"/>
                      </w:rPr>
                    </w:pPr>
                  </w:p>
                </w:txbxContent>
              </v:textbox>
              <w10:wrap anchorx="page" anchory="page"/>
            </v:shape>
          </w:pict>
        </mc:Fallback>
      </mc:AlternateContent>
    </w:r>
    <w:r w:rsidR="007C5C8E">
      <w:rPr>
        <w:noProof/>
        <w:color w:val="000000"/>
      </w:rPr>
      <mc:AlternateContent>
        <mc:Choice Requires="wps">
          <w:drawing>
            <wp:anchor distT="0" distB="0" distL="114300" distR="114300" simplePos="0" relativeHeight="251658240" behindDoc="1" locked="0" layoutInCell="1" hidden="0" allowOverlap="1" wp14:anchorId="5864F77E" wp14:editId="3477946F">
              <wp:simplePos x="0" y="0"/>
              <wp:positionH relativeFrom="margin">
                <wp:align>center</wp:align>
              </wp:positionH>
              <wp:positionV relativeFrom="margin">
                <wp:align>center</wp:align>
              </wp:positionV>
              <wp:extent cx="5938643" cy="5938643"/>
              <wp:effectExtent l="0" t="0" r="0" b="0"/>
              <wp:wrapNone/>
              <wp:docPr id="2" name="Rectangle 2"/>
              <wp:cNvGraphicFramePr/>
              <a:graphic xmlns:a="http://schemas.openxmlformats.org/drawingml/2006/main">
                <a:graphicData uri="http://schemas.microsoft.com/office/word/2010/wordprocessingShape">
                  <wps:wsp>
                    <wps:cNvSpPr/>
                    <wps:spPr>
                      <a:xfrm rot="-2700000">
                        <a:off x="2353245" y="2583025"/>
                        <a:ext cx="5985510" cy="2393950"/>
                      </a:xfrm>
                      <a:prstGeom prst="rect">
                        <a:avLst/>
                      </a:prstGeom>
                    </wps:spPr>
                    <wps:txbx>
                      <w:txbxContent>
                        <w:p w14:paraId="2A1FE296" w14:textId="42134389" w:rsidR="006864CF" w:rsidRDefault="006864CF">
                          <w:pPr>
                            <w:jc w:val="center"/>
                            <w:textDirection w:val="btLr"/>
                          </w:pPr>
                        </w:p>
                      </w:txbxContent>
                    </wps:txbx>
                    <wps:bodyPr spcFirstLastPara="1" wrap="square" lIns="91425" tIns="91425" rIns="91425" bIns="91425" anchor="ctr" anchorCtr="0">
                      <a:noAutofit/>
                    </wps:bodyPr>
                  </wps:wsp>
                </a:graphicData>
              </a:graphic>
            </wp:anchor>
          </w:drawing>
        </mc:Choice>
        <mc:Fallback xmlns:oel="http://schemas.microsoft.com/office/2019/extlst">
          <w:pict>
            <v:rect w14:anchorId="5864F77E" id="Rectangle 2" o:spid="_x0000_s1028" style="position:absolute;margin-left:0;margin-top:0;width:467.6pt;height:467.6pt;rotation:-45;z-index:-251658240;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" filled="f" stroked="f">
              <v:textbox inset="2.53958mm,2.53958mm,2.53958mm,2.53958mm">
                <w:txbxContent>
                  <w:p w14:paraId="2A1FE296" w14:textId="42134389" w:rsidR="006864CF" w:rsidRDefault="006864CF">
                    <w:pPr>
                      <w:jc w:val="center"/>
                      <w:textDirection w:val="btLr"/>
                    </w:pPr>
                  </w:p>
                </w:txbxContent>
              </v:textbox>
              <w10:wrap anchorx="margin" anchory="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8" w14:textId="7A96DB71" w:rsidR="006864CF" w:rsidRDefault="00534F0E">
    <w:pPr>
      <w:pBdr>
        <w:top w:val="nil"/>
        <w:left w:val="nil"/>
        <w:bottom w:val="nil"/>
        <w:right w:val="nil"/>
        <w:between w:val="nil"/>
      </w:pBdr>
      <w:tabs>
        <w:tab w:val="center" w:pos="4680"/>
        <w:tab w:val="right" w:pos="9360"/>
      </w:tabs>
      <w:rPr>
        <w:color w:val="000000"/>
      </w:rPr>
    </w:pPr>
    <w:r>
      <w:rPr>
        <w:noProof/>
        <w:color w:val="000000"/>
      </w:rPr>
      <mc:AlternateContent>
        <mc:Choice Requires="wps">
          <w:drawing>
            <wp:anchor distT="0" distB="0" distL="114300" distR="114300" simplePos="0" relativeHeight="251658244" behindDoc="0" locked="0" layoutInCell="0" allowOverlap="1" wp14:anchorId="086D75CA" wp14:editId="0134E593">
              <wp:simplePos x="0" y="0"/>
              <wp:positionH relativeFrom="page">
                <wp:posOffset>0</wp:posOffset>
              </wp:positionH>
              <wp:positionV relativeFrom="page">
                <wp:posOffset>190500</wp:posOffset>
              </wp:positionV>
              <wp:extent cx="7772400" cy="252095"/>
              <wp:effectExtent l="0" t="0" r="0" b="14605"/>
              <wp:wrapNone/>
              <wp:docPr id="5" name="MSIPCM54594b3392ac453096d7b881" descr="{&quot;HashCode&quot;:-75512786,&quot;Height&quot;:792.0,&quot;Width&quot;:612.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63E7BE" w14:textId="4523C36A" w:rsidR="00534F0E" w:rsidRPr="00534F0E" w:rsidRDefault="00534F0E" w:rsidP="00534F0E">
                          <w:pPr>
                            <w:jc w:val="center"/>
                            <w:rPr>
                              <w:rFonts w:ascii="Arial" w:hAnsi="Arial" w:cs="Arial"/>
                              <w:color w:val="000000"/>
                              <w:sz w:val="16"/>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oel="http://schemas.microsoft.com/office/2019/extlst">
          <w:pict>
            <v:shapetype w14:anchorId="086D75CA" id="_x0000_t202" coordsize="21600,21600" o:spt="202" path="m,l,21600r21600,l21600,xe">
              <v:stroke joinstyle="miter"/>
              <v:path gradientshapeok="t" o:connecttype="rect"/>
            </v:shapetype>
            <v:shape id="MSIPCM54594b3392ac453096d7b881" o:spid="_x0000_s1029" type="#_x0000_t202" alt="{&quot;HashCode&quot;:-75512786,&quot;Height&quot;:792.0,&quot;Width&quot;:612.0,&quot;Placement&quot;:&quot;Header&quot;,&quot;Index&quot;:&quot;FirstPage&quot;,&quot;Section&quot;:1,&quot;Top&quot;:0.0,&quot;Left&quot;:0.0}" style="position:absolute;margin-left:0;margin-top:15pt;width:612pt;height:19.85pt;z-index:2516582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" o:allowincell="f" filled="f" stroked="f" strokeweight=".5pt">
              <v:textbox inset=",0,,0">
                <w:txbxContent>
                  <w:p w14:paraId="0E63E7BE" w14:textId="4523C36A" w:rsidR="00534F0E" w:rsidRPr="00534F0E" w:rsidRDefault="00534F0E" w:rsidP="00534F0E">
                    <w:pPr>
                      <w:jc w:val="center"/>
                      <w:rPr>
                        <w:rFonts w:ascii="Arial" w:hAnsi="Arial" w:cs="Arial"/>
                        <w:color w:val="000000"/>
                        <w:sz w:val="16"/>
                      </w:rPr>
                    </w:pPr>
                  </w:p>
                </w:txbxContent>
              </v:textbox>
              <w10:wrap anchorx="page" anchory="page"/>
            </v:shape>
          </w:pict>
        </mc:Fallback>
      </mc:AlternateContent>
    </w:r>
    <w:r w:rsidR="007C5C8E">
      <w:rPr>
        <w:noProof/>
        <w:color w:val="000000"/>
      </w:rPr>
      <mc:AlternateContent>
        <mc:Choice Requires="wps">
          <w:drawing>
            <wp:anchor distT="0" distB="0" distL="114300" distR="114300" simplePos="0" relativeHeight="251658241" behindDoc="1" locked="0" layoutInCell="1" hidden="0" allowOverlap="1" wp14:anchorId="6A86433C" wp14:editId="3BCE37A1">
              <wp:simplePos x="0" y="0"/>
              <wp:positionH relativeFrom="margin">
                <wp:align>center</wp:align>
              </wp:positionH>
              <wp:positionV relativeFrom="margin">
                <wp:align>center</wp:align>
              </wp:positionV>
              <wp:extent cx="5938643" cy="5938643"/>
              <wp:effectExtent l="0" t="0" r="0" b="0"/>
              <wp:wrapNone/>
              <wp:docPr id="1" name="Rectangle 1"/>
              <wp:cNvGraphicFramePr/>
              <a:graphic xmlns:a="http://schemas.openxmlformats.org/drawingml/2006/main">
                <a:graphicData uri="http://schemas.microsoft.com/office/word/2010/wordprocessingShape">
                  <wps:wsp>
                    <wps:cNvSpPr/>
                    <wps:spPr>
                      <a:xfrm rot="-2700000">
                        <a:off x="2353245" y="2583025"/>
                        <a:ext cx="5985510" cy="2393950"/>
                      </a:xfrm>
                      <a:prstGeom prst="rect">
                        <a:avLst/>
                      </a:prstGeom>
                    </wps:spPr>
                    <wps:txbx>
                      <w:txbxContent>
                        <w:p w14:paraId="50B6316B" w14:textId="7812A98B" w:rsidR="006864CF" w:rsidRDefault="006864CF">
                          <w:pPr>
                            <w:jc w:val="center"/>
                            <w:textDirection w:val="btLr"/>
                          </w:pPr>
                        </w:p>
                      </w:txbxContent>
                    </wps:txbx>
                    <wps:bodyPr spcFirstLastPara="1" wrap="square" lIns="91425" tIns="91425" rIns="91425" bIns="91425" anchor="ctr" anchorCtr="0">
                      <a:noAutofit/>
                    </wps:bodyPr>
                  </wps:wsp>
                </a:graphicData>
              </a:graphic>
            </wp:anchor>
          </w:drawing>
        </mc:Choice>
        <mc:Fallback xmlns:oel="http://schemas.microsoft.com/office/2019/extlst">
          <w:pict>
            <v:rect w14:anchorId="6A86433C" id="Rectangle 1" o:spid="_x0000_s1030" style="position:absolute;margin-left:0;margin-top:0;width:467.6pt;height:467.6pt;rotation:-45;z-index:-251658239;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" filled="f" stroked="f">
              <v:textbox inset="2.53958mm,2.53958mm,2.53958mm,2.53958mm">
                <w:txbxContent>
                  <w:p w14:paraId="50B6316B" w14:textId="7812A98B" w:rsidR="006864CF" w:rsidRDefault="006864CF">
                    <w:pPr>
                      <w:jc w:val="center"/>
                      <w:textDirection w:val="btLr"/>
                    </w:pP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559A5"/>
    <w:multiLevelType w:val="hybridMultilevel"/>
    <w:tmpl w:val="985CAF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C74140"/>
    <w:multiLevelType w:val="hybridMultilevel"/>
    <w:tmpl w:val="0BEC9E64"/>
    <w:lvl w:ilvl="0" w:tplc="D910D0EA">
      <w:start w:val="9"/>
      <w:numFmt w:val="decimal"/>
      <w:lvlText w:val="%1."/>
      <w:lvlJc w:val="left"/>
      <w:pPr>
        <w:ind w:left="1080" w:hanging="360"/>
      </w:pPr>
      <w:rPr>
        <w:rFonts w:hAnsi="Arial Unicode MS" w:hint="default"/>
        <w:b/>
        <w:bCs/>
        <w:caps w:val="0"/>
        <w:smallCaps w:val="0"/>
        <w:strike w:val="0"/>
        <w:dstrike w:val="0"/>
        <w:outline w:val="0"/>
        <w:emboss w:val="0"/>
        <w:imprint w:val="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56082E"/>
    <w:multiLevelType w:val="hybridMultilevel"/>
    <w:tmpl w:val="11A66D8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5916E86"/>
    <w:multiLevelType w:val="hybridMultilevel"/>
    <w:tmpl w:val="AE00C89A"/>
    <w:lvl w:ilvl="0" w:tplc="4A365394">
      <w:start w:val="5"/>
      <w:numFmt w:val="decimal"/>
      <w:lvlText w:val="%1."/>
      <w:lvlJc w:val="left"/>
      <w:pPr>
        <w:ind w:left="1080" w:hanging="360"/>
      </w:pPr>
      <w:rPr>
        <w:rFonts w:hAnsi="Arial Unicode MS" w:hint="default"/>
        <w:b/>
        <w:bCs/>
        <w:caps w:val="0"/>
        <w:smallCaps w:val="0"/>
        <w:strike w:val="0"/>
        <w:dstrike w:val="0"/>
        <w:outline w:val="0"/>
        <w:emboss w:val="0"/>
        <w:imprint w:val="0"/>
        <w:spacing w:val="0"/>
        <w:w w:val="100"/>
        <w:kern w:val="0"/>
        <w:position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FF5351"/>
    <w:multiLevelType w:val="hybridMultilevel"/>
    <w:tmpl w:val="5B8A2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96647F"/>
    <w:multiLevelType w:val="hybridMultilevel"/>
    <w:tmpl w:val="373C4200"/>
    <w:lvl w:ilvl="0" w:tplc="D382E0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177AB4"/>
    <w:multiLevelType w:val="hybridMultilevel"/>
    <w:tmpl w:val="20280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EBA4ED8"/>
    <w:multiLevelType w:val="multilevel"/>
    <w:tmpl w:val="FFF874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86833C2"/>
    <w:multiLevelType w:val="hybridMultilevel"/>
    <w:tmpl w:val="B6DEFF64"/>
    <w:numStyleLink w:val="ImportedStyle1"/>
  </w:abstractNum>
  <w:abstractNum w:abstractNumId="9" w15:restartNumberingAfterBreak="0">
    <w:nsid w:val="71BD254E"/>
    <w:multiLevelType w:val="hybridMultilevel"/>
    <w:tmpl w:val="B6DEFF64"/>
    <w:styleLink w:val="ImportedStyle1"/>
    <w:lvl w:ilvl="0" w:tplc="4FA4BED0">
      <w:start w:val="1"/>
      <w:numFmt w:val="decimal"/>
      <w:lvlText w:val="%1."/>
      <w:lvlJc w:val="left"/>
      <w:pPr>
        <w:ind w:left="10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E4C2692C">
      <w:start w:val="1"/>
      <w:numFmt w:val="lowerLetter"/>
      <w:lvlText w:val="%2."/>
      <w:lvlJc w:val="left"/>
      <w:pPr>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2340A0DA">
      <w:start w:val="1"/>
      <w:numFmt w:val="lowerRoman"/>
      <w:lvlText w:val="%3."/>
      <w:lvlJc w:val="left"/>
      <w:pPr>
        <w:ind w:left="2520" w:hanging="310"/>
      </w:pPr>
      <w:rPr>
        <w:rFonts w:hAnsi="Arial Unicode MS"/>
        <w:b/>
        <w:bCs/>
        <w:caps w:val="0"/>
        <w:smallCaps w:val="0"/>
        <w:strike w:val="0"/>
        <w:dstrike w:val="0"/>
        <w:outline w:val="0"/>
        <w:emboss w:val="0"/>
        <w:imprint w:val="0"/>
        <w:spacing w:val="0"/>
        <w:w w:val="100"/>
        <w:kern w:val="0"/>
        <w:position w:val="0"/>
        <w:highlight w:val="none"/>
        <w:vertAlign w:val="baseline"/>
      </w:rPr>
    </w:lvl>
    <w:lvl w:ilvl="3" w:tplc="5E2ADE6C">
      <w:start w:val="1"/>
      <w:numFmt w:val="decimal"/>
      <w:lvlText w:val="%4."/>
      <w:lvlJc w:val="left"/>
      <w:pPr>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68C262C2">
      <w:start w:val="1"/>
      <w:numFmt w:val="lowerLetter"/>
      <w:lvlText w:val="%5."/>
      <w:lvlJc w:val="left"/>
      <w:pPr>
        <w:ind w:left="39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0E8BE20">
      <w:start w:val="1"/>
      <w:numFmt w:val="lowerRoman"/>
      <w:lvlText w:val="%6."/>
      <w:lvlJc w:val="left"/>
      <w:pPr>
        <w:ind w:left="4680" w:hanging="310"/>
      </w:pPr>
      <w:rPr>
        <w:rFonts w:hAnsi="Arial Unicode MS"/>
        <w:b/>
        <w:bCs/>
        <w:caps w:val="0"/>
        <w:smallCaps w:val="0"/>
        <w:strike w:val="0"/>
        <w:dstrike w:val="0"/>
        <w:outline w:val="0"/>
        <w:emboss w:val="0"/>
        <w:imprint w:val="0"/>
        <w:spacing w:val="0"/>
        <w:w w:val="100"/>
        <w:kern w:val="0"/>
        <w:position w:val="0"/>
        <w:highlight w:val="none"/>
        <w:vertAlign w:val="baseline"/>
      </w:rPr>
    </w:lvl>
    <w:lvl w:ilvl="6" w:tplc="766EFED4">
      <w:start w:val="1"/>
      <w:numFmt w:val="decimal"/>
      <w:lvlText w:val="%7."/>
      <w:lvlJc w:val="left"/>
      <w:pPr>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98C2CBBC">
      <w:start w:val="1"/>
      <w:numFmt w:val="lowerLetter"/>
      <w:lvlText w:val="%8."/>
      <w:lvlJc w:val="left"/>
      <w:pPr>
        <w:ind w:left="61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613E1224">
      <w:start w:val="1"/>
      <w:numFmt w:val="lowerRoman"/>
      <w:lvlText w:val="%9."/>
      <w:lvlJc w:val="left"/>
      <w:pPr>
        <w:ind w:left="6840" w:hanging="31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76DC308F"/>
    <w:multiLevelType w:val="multilevel"/>
    <w:tmpl w:val="3564B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E3D3A89"/>
    <w:multiLevelType w:val="hybridMultilevel"/>
    <w:tmpl w:val="CA1C50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F117D5B"/>
    <w:multiLevelType w:val="hybridMultilevel"/>
    <w:tmpl w:val="B7527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2"/>
  </w:num>
  <w:num w:numId="4">
    <w:abstractNumId w:val="9"/>
  </w:num>
  <w:num w:numId="5">
    <w:abstractNumId w:val="8"/>
  </w:num>
  <w:num w:numId="6">
    <w:abstractNumId w:val="6"/>
  </w:num>
  <w:num w:numId="7">
    <w:abstractNumId w:val="5"/>
  </w:num>
  <w:num w:numId="8">
    <w:abstractNumId w:val="11"/>
  </w:num>
  <w:num w:numId="9">
    <w:abstractNumId w:val="2"/>
  </w:num>
  <w:num w:numId="10">
    <w:abstractNumId w:val="0"/>
  </w:num>
  <w:num w:numId="11">
    <w:abstractNumId w:val="4"/>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CF"/>
    <w:rsid w:val="00025EE6"/>
    <w:rsid w:val="000376E0"/>
    <w:rsid w:val="000642EE"/>
    <w:rsid w:val="00071D48"/>
    <w:rsid w:val="00097A0D"/>
    <w:rsid w:val="00097B3C"/>
    <w:rsid w:val="000B7D02"/>
    <w:rsid w:val="000D7009"/>
    <w:rsid w:val="000E35C9"/>
    <w:rsid w:val="000E39CC"/>
    <w:rsid w:val="000E7081"/>
    <w:rsid w:val="000F385B"/>
    <w:rsid w:val="00105C27"/>
    <w:rsid w:val="001461D9"/>
    <w:rsid w:val="001541FF"/>
    <w:rsid w:val="0016358B"/>
    <w:rsid w:val="001643A3"/>
    <w:rsid w:val="00184932"/>
    <w:rsid w:val="001A6019"/>
    <w:rsid w:val="001A7066"/>
    <w:rsid w:val="001B14E4"/>
    <w:rsid w:val="001C0B06"/>
    <w:rsid w:val="002005C7"/>
    <w:rsid w:val="00211F9B"/>
    <w:rsid w:val="00230DF2"/>
    <w:rsid w:val="00231706"/>
    <w:rsid w:val="002413F9"/>
    <w:rsid w:val="00246016"/>
    <w:rsid w:val="002549F8"/>
    <w:rsid w:val="00262C3D"/>
    <w:rsid w:val="00285744"/>
    <w:rsid w:val="0029743A"/>
    <w:rsid w:val="002A02FE"/>
    <w:rsid w:val="002A3634"/>
    <w:rsid w:val="002A7A7C"/>
    <w:rsid w:val="002C18D3"/>
    <w:rsid w:val="002E3B65"/>
    <w:rsid w:val="002F774B"/>
    <w:rsid w:val="0032134D"/>
    <w:rsid w:val="0032142B"/>
    <w:rsid w:val="00330559"/>
    <w:rsid w:val="00347276"/>
    <w:rsid w:val="00352A3D"/>
    <w:rsid w:val="00390372"/>
    <w:rsid w:val="003A1912"/>
    <w:rsid w:val="003B67D0"/>
    <w:rsid w:val="003C22F9"/>
    <w:rsid w:val="003D5A7C"/>
    <w:rsid w:val="004052E7"/>
    <w:rsid w:val="004214BE"/>
    <w:rsid w:val="0042422D"/>
    <w:rsid w:val="00445F29"/>
    <w:rsid w:val="00446259"/>
    <w:rsid w:val="00463AFE"/>
    <w:rsid w:val="00483BD9"/>
    <w:rsid w:val="004945CB"/>
    <w:rsid w:val="004B0AF8"/>
    <w:rsid w:val="004B17F0"/>
    <w:rsid w:val="004C58F9"/>
    <w:rsid w:val="004D2E72"/>
    <w:rsid w:val="004E5053"/>
    <w:rsid w:val="004F00BE"/>
    <w:rsid w:val="004F5844"/>
    <w:rsid w:val="005124BB"/>
    <w:rsid w:val="00532A07"/>
    <w:rsid w:val="00534F0E"/>
    <w:rsid w:val="00542E81"/>
    <w:rsid w:val="005447CA"/>
    <w:rsid w:val="00544E93"/>
    <w:rsid w:val="005511B3"/>
    <w:rsid w:val="00572744"/>
    <w:rsid w:val="005846BA"/>
    <w:rsid w:val="005A4CFE"/>
    <w:rsid w:val="005C4593"/>
    <w:rsid w:val="005C46D3"/>
    <w:rsid w:val="005E1657"/>
    <w:rsid w:val="005E731D"/>
    <w:rsid w:val="005F762D"/>
    <w:rsid w:val="00600074"/>
    <w:rsid w:val="00601460"/>
    <w:rsid w:val="0061511B"/>
    <w:rsid w:val="006175C9"/>
    <w:rsid w:val="0065446A"/>
    <w:rsid w:val="00656AD4"/>
    <w:rsid w:val="00677F20"/>
    <w:rsid w:val="00680E8D"/>
    <w:rsid w:val="00683F3C"/>
    <w:rsid w:val="006864CF"/>
    <w:rsid w:val="006873A6"/>
    <w:rsid w:val="0069502C"/>
    <w:rsid w:val="00695789"/>
    <w:rsid w:val="006A40CB"/>
    <w:rsid w:val="006B6F7D"/>
    <w:rsid w:val="006E536B"/>
    <w:rsid w:val="00725A07"/>
    <w:rsid w:val="00734AFC"/>
    <w:rsid w:val="007370D7"/>
    <w:rsid w:val="00741EA3"/>
    <w:rsid w:val="00744500"/>
    <w:rsid w:val="007658ED"/>
    <w:rsid w:val="00784E09"/>
    <w:rsid w:val="00790168"/>
    <w:rsid w:val="00795A2C"/>
    <w:rsid w:val="007974A4"/>
    <w:rsid w:val="007A1DCB"/>
    <w:rsid w:val="007B28FA"/>
    <w:rsid w:val="007C5C8E"/>
    <w:rsid w:val="007D1E3C"/>
    <w:rsid w:val="007D3C2C"/>
    <w:rsid w:val="007D44AB"/>
    <w:rsid w:val="007E3EE9"/>
    <w:rsid w:val="00852780"/>
    <w:rsid w:val="00856357"/>
    <w:rsid w:val="00857672"/>
    <w:rsid w:val="00866130"/>
    <w:rsid w:val="00896FAA"/>
    <w:rsid w:val="008C20E6"/>
    <w:rsid w:val="008D631F"/>
    <w:rsid w:val="008F19B7"/>
    <w:rsid w:val="008F3E94"/>
    <w:rsid w:val="00913D0F"/>
    <w:rsid w:val="009418DB"/>
    <w:rsid w:val="009611DE"/>
    <w:rsid w:val="00963A7A"/>
    <w:rsid w:val="00971260"/>
    <w:rsid w:val="00977068"/>
    <w:rsid w:val="00983E05"/>
    <w:rsid w:val="00985560"/>
    <w:rsid w:val="009D3763"/>
    <w:rsid w:val="009E39C3"/>
    <w:rsid w:val="00A163BA"/>
    <w:rsid w:val="00A167C7"/>
    <w:rsid w:val="00A249EC"/>
    <w:rsid w:val="00A57ECD"/>
    <w:rsid w:val="00A6322C"/>
    <w:rsid w:val="00A65E3D"/>
    <w:rsid w:val="00A74CD0"/>
    <w:rsid w:val="00A83370"/>
    <w:rsid w:val="00A83B67"/>
    <w:rsid w:val="00AB7A44"/>
    <w:rsid w:val="00AE17BC"/>
    <w:rsid w:val="00AE6E75"/>
    <w:rsid w:val="00AF0393"/>
    <w:rsid w:val="00AF3E78"/>
    <w:rsid w:val="00B10AA3"/>
    <w:rsid w:val="00B11446"/>
    <w:rsid w:val="00B276C4"/>
    <w:rsid w:val="00B40FA3"/>
    <w:rsid w:val="00B45033"/>
    <w:rsid w:val="00B47CFB"/>
    <w:rsid w:val="00B61073"/>
    <w:rsid w:val="00B85749"/>
    <w:rsid w:val="00BA428E"/>
    <w:rsid w:val="00BD65E9"/>
    <w:rsid w:val="00BE2F93"/>
    <w:rsid w:val="00BF0396"/>
    <w:rsid w:val="00BF714F"/>
    <w:rsid w:val="00C04CBE"/>
    <w:rsid w:val="00C153BB"/>
    <w:rsid w:val="00C16302"/>
    <w:rsid w:val="00C42946"/>
    <w:rsid w:val="00C51D8B"/>
    <w:rsid w:val="00C65FF0"/>
    <w:rsid w:val="00C72573"/>
    <w:rsid w:val="00C8667A"/>
    <w:rsid w:val="00C86A5E"/>
    <w:rsid w:val="00C92054"/>
    <w:rsid w:val="00CA4A30"/>
    <w:rsid w:val="00CB4A66"/>
    <w:rsid w:val="00CE5661"/>
    <w:rsid w:val="00D37A06"/>
    <w:rsid w:val="00D51806"/>
    <w:rsid w:val="00D60439"/>
    <w:rsid w:val="00D661BF"/>
    <w:rsid w:val="00D9103F"/>
    <w:rsid w:val="00D9463F"/>
    <w:rsid w:val="00D94EA9"/>
    <w:rsid w:val="00DA39F6"/>
    <w:rsid w:val="00DC2FA9"/>
    <w:rsid w:val="00DC6B75"/>
    <w:rsid w:val="00DC6C9C"/>
    <w:rsid w:val="00DD79A6"/>
    <w:rsid w:val="00E03B58"/>
    <w:rsid w:val="00E0529F"/>
    <w:rsid w:val="00E10AE9"/>
    <w:rsid w:val="00E33B34"/>
    <w:rsid w:val="00E80D2B"/>
    <w:rsid w:val="00E9634D"/>
    <w:rsid w:val="00EA13C6"/>
    <w:rsid w:val="00EA3960"/>
    <w:rsid w:val="00EB283D"/>
    <w:rsid w:val="00EB4913"/>
    <w:rsid w:val="00EB4F2C"/>
    <w:rsid w:val="00EC5312"/>
    <w:rsid w:val="00EC60B2"/>
    <w:rsid w:val="00ED796E"/>
    <w:rsid w:val="00EF06EE"/>
    <w:rsid w:val="00F274C8"/>
    <w:rsid w:val="00F435ED"/>
    <w:rsid w:val="00F52817"/>
    <w:rsid w:val="00F6081E"/>
    <w:rsid w:val="00F64605"/>
    <w:rsid w:val="00F82EE7"/>
    <w:rsid w:val="00F83231"/>
    <w:rsid w:val="00FA35FF"/>
    <w:rsid w:val="00FA4D90"/>
    <w:rsid w:val="00FA5E08"/>
    <w:rsid w:val="00FB7E54"/>
    <w:rsid w:val="00FC3A73"/>
    <w:rsid w:val="00FD49EA"/>
    <w:rsid w:val="00FE5EBE"/>
    <w:rsid w:val="00FF018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1D452"/>
  <w15:docId w15:val="{6311828B-55A8-44C8-994F-A28C67390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43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B66E1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66E16"/>
    <w:rPr>
      <w:rFonts w:ascii="Calibri" w:hAnsi="Calibri"/>
    </w:rPr>
  </w:style>
  <w:style w:type="character" w:customStyle="1" w:styleId="FootnoteTextChar">
    <w:name w:val="Footnote Text Char"/>
    <w:basedOn w:val="DefaultParagraphFont"/>
    <w:link w:val="FootnoteText"/>
    <w:uiPriority w:val="99"/>
    <w:semiHidden/>
    <w:rsid w:val="00B66E16"/>
    <w:rPr>
      <w:rFonts w:ascii="Calibri" w:hAnsi="Calibri" w:cs="Times New Roman"/>
    </w:rPr>
  </w:style>
  <w:style w:type="character" w:styleId="FootnoteReference">
    <w:name w:val="footnote reference"/>
    <w:basedOn w:val="DefaultParagraphFont"/>
    <w:uiPriority w:val="99"/>
    <w:unhideWhenUsed/>
    <w:rsid w:val="00B66E16"/>
    <w:rPr>
      <w:vertAlign w:val="superscript"/>
    </w:rPr>
  </w:style>
  <w:style w:type="paragraph" w:styleId="BalloonText">
    <w:name w:val="Balloon Text"/>
    <w:basedOn w:val="Normal"/>
    <w:link w:val="BalloonTextChar"/>
    <w:uiPriority w:val="99"/>
    <w:semiHidden/>
    <w:unhideWhenUsed/>
    <w:rsid w:val="00B66E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6E16"/>
    <w:rPr>
      <w:rFonts w:ascii="Segoe UI" w:hAnsi="Segoe UI" w:cs="Segoe UI"/>
      <w:sz w:val="18"/>
      <w:szCs w:val="18"/>
    </w:rPr>
  </w:style>
  <w:style w:type="paragraph" w:styleId="Header">
    <w:name w:val="header"/>
    <w:basedOn w:val="Normal"/>
    <w:link w:val="HeaderChar"/>
    <w:uiPriority w:val="99"/>
    <w:unhideWhenUsed/>
    <w:rsid w:val="004924AD"/>
    <w:pPr>
      <w:tabs>
        <w:tab w:val="center" w:pos="4680"/>
        <w:tab w:val="right" w:pos="9360"/>
      </w:tabs>
    </w:pPr>
  </w:style>
  <w:style w:type="character" w:customStyle="1" w:styleId="HeaderChar">
    <w:name w:val="Header Char"/>
    <w:basedOn w:val="DefaultParagraphFont"/>
    <w:link w:val="Header"/>
    <w:uiPriority w:val="99"/>
    <w:rsid w:val="004924AD"/>
  </w:style>
  <w:style w:type="paragraph" w:styleId="Footer">
    <w:name w:val="footer"/>
    <w:basedOn w:val="Normal"/>
    <w:link w:val="FooterChar"/>
    <w:uiPriority w:val="99"/>
    <w:unhideWhenUsed/>
    <w:rsid w:val="004924AD"/>
    <w:pPr>
      <w:tabs>
        <w:tab w:val="center" w:pos="4680"/>
        <w:tab w:val="right" w:pos="9360"/>
      </w:tabs>
    </w:pPr>
  </w:style>
  <w:style w:type="character" w:customStyle="1" w:styleId="FooterChar">
    <w:name w:val="Footer Char"/>
    <w:basedOn w:val="DefaultParagraphFont"/>
    <w:link w:val="Footer"/>
    <w:uiPriority w:val="99"/>
    <w:rsid w:val="004924AD"/>
  </w:style>
  <w:style w:type="paragraph" w:styleId="ListParagraph">
    <w:name w:val="List Paragraph"/>
    <w:basedOn w:val="Normal"/>
    <w:qFormat/>
    <w:rsid w:val="00F60185"/>
    <w:pPr>
      <w:ind w:left="720"/>
      <w:contextualSpacing/>
    </w:pPr>
  </w:style>
  <w:style w:type="character" w:styleId="CommentReference">
    <w:name w:val="annotation reference"/>
    <w:basedOn w:val="DefaultParagraphFont"/>
    <w:uiPriority w:val="99"/>
    <w:semiHidden/>
    <w:unhideWhenUsed/>
    <w:rsid w:val="00A856DD"/>
    <w:rPr>
      <w:sz w:val="16"/>
      <w:szCs w:val="16"/>
    </w:rPr>
  </w:style>
  <w:style w:type="paragraph" w:styleId="CommentText">
    <w:name w:val="annotation text"/>
    <w:basedOn w:val="Normal"/>
    <w:link w:val="CommentTextChar"/>
    <w:uiPriority w:val="99"/>
    <w:unhideWhenUsed/>
    <w:rsid w:val="00A856DD"/>
  </w:style>
  <w:style w:type="character" w:customStyle="1" w:styleId="CommentTextChar">
    <w:name w:val="Comment Text Char"/>
    <w:basedOn w:val="DefaultParagraphFont"/>
    <w:link w:val="CommentText"/>
    <w:uiPriority w:val="99"/>
    <w:rsid w:val="00A856DD"/>
  </w:style>
  <w:style w:type="paragraph" w:styleId="CommentSubject">
    <w:name w:val="annotation subject"/>
    <w:basedOn w:val="CommentText"/>
    <w:next w:val="CommentText"/>
    <w:link w:val="CommentSubjectChar"/>
    <w:uiPriority w:val="99"/>
    <w:semiHidden/>
    <w:unhideWhenUsed/>
    <w:rsid w:val="004120E4"/>
    <w:rPr>
      <w:b/>
      <w:bCs/>
    </w:rPr>
  </w:style>
  <w:style w:type="character" w:customStyle="1" w:styleId="CommentSubjectChar">
    <w:name w:val="Comment Subject Char"/>
    <w:basedOn w:val="CommentTextChar"/>
    <w:link w:val="CommentSubject"/>
    <w:uiPriority w:val="99"/>
    <w:semiHidden/>
    <w:rsid w:val="004120E4"/>
    <w:rPr>
      <w:b/>
      <w:bCs/>
    </w:rPr>
  </w:style>
  <w:style w:type="paragraph" w:styleId="NoSpacing">
    <w:name w:val="No Spacing"/>
    <w:uiPriority w:val="1"/>
    <w:qFormat/>
    <w:rsid w:val="00DE0FCB"/>
  </w:style>
  <w:style w:type="character" w:styleId="Hyperlink">
    <w:name w:val="Hyperlink"/>
    <w:basedOn w:val="DefaultParagraphFont"/>
    <w:uiPriority w:val="99"/>
    <w:unhideWhenUsed/>
    <w:rsid w:val="0044385F"/>
    <w:rPr>
      <w:color w:val="0563C1" w:themeColor="hyperlink"/>
      <w:u w:val="single"/>
    </w:rPr>
  </w:style>
  <w:style w:type="character" w:styleId="UnresolvedMention">
    <w:name w:val="Unresolved Mention"/>
    <w:basedOn w:val="DefaultParagraphFont"/>
    <w:uiPriority w:val="99"/>
    <w:semiHidden/>
    <w:unhideWhenUsed/>
    <w:rsid w:val="00107E20"/>
    <w:rPr>
      <w:color w:val="605E5C"/>
      <w:shd w:val="clear" w:color="auto" w:fill="E1DFDD"/>
    </w:rPr>
  </w:style>
  <w:style w:type="character" w:styleId="FollowedHyperlink">
    <w:name w:val="FollowedHyperlink"/>
    <w:basedOn w:val="DefaultParagraphFont"/>
    <w:uiPriority w:val="99"/>
    <w:semiHidden/>
    <w:unhideWhenUsed/>
    <w:rsid w:val="00135FB6"/>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paragraph" w:styleId="Revision">
    <w:name w:val="Revision"/>
    <w:hidden/>
    <w:uiPriority w:val="99"/>
    <w:semiHidden/>
    <w:rsid w:val="007D44AB"/>
  </w:style>
  <w:style w:type="paragraph" w:customStyle="1" w:styleId="Body">
    <w:name w:val="Body"/>
    <w:rsid w:val="001A6019"/>
    <w:pPr>
      <w:pBdr>
        <w:top w:val="nil"/>
        <w:left w:val="nil"/>
        <w:bottom w:val="nil"/>
        <w:right w:val="nil"/>
        <w:between w:val="nil"/>
        <w:bar w:val="nil"/>
      </w:pBdr>
    </w:pPr>
    <w:rPr>
      <w:rFonts w:eastAsia="Arial Unicode MS" w:cs="Arial Unicode MS"/>
      <w:color w:val="000000"/>
      <w:sz w:val="24"/>
      <w:szCs w:val="24"/>
      <w:u w:color="000000"/>
      <w:bdr w:val="nil"/>
      <w14:textOutline w14:w="0" w14:cap="flat" w14:cmpd="sng" w14:algn="ctr">
        <w14:noFill/>
        <w14:prstDash w14:val="solid"/>
        <w14:bevel/>
      </w14:textOutline>
    </w:rPr>
  </w:style>
  <w:style w:type="character" w:styleId="PageNumber">
    <w:name w:val="page number"/>
    <w:rsid w:val="005E1657"/>
    <w:rPr>
      <w:lang w:val="en-US"/>
    </w:rPr>
  </w:style>
  <w:style w:type="numbering" w:customStyle="1" w:styleId="ImportedStyle1">
    <w:name w:val="Imported Style 1"/>
    <w:rsid w:val="005E1657"/>
    <w:pPr>
      <w:numPr>
        <w:numId w:val="4"/>
      </w:numPr>
    </w:pPr>
  </w:style>
  <w:style w:type="paragraph" w:customStyle="1" w:styleId="paragraph">
    <w:name w:val="paragraph"/>
    <w:basedOn w:val="Normal"/>
    <w:rsid w:val="00C16302"/>
    <w:pPr>
      <w:spacing w:before="100" w:beforeAutospacing="1" w:after="100" w:afterAutospacing="1"/>
    </w:pPr>
    <w:rPr>
      <w:sz w:val="24"/>
      <w:szCs w:val="24"/>
    </w:rPr>
  </w:style>
  <w:style w:type="character" w:customStyle="1" w:styleId="normaltextrun">
    <w:name w:val="normaltextrun"/>
    <w:basedOn w:val="DefaultParagraphFont"/>
    <w:rsid w:val="00C16302"/>
  </w:style>
  <w:style w:type="character" w:customStyle="1" w:styleId="eop">
    <w:name w:val="eop"/>
    <w:basedOn w:val="DefaultParagraphFont"/>
    <w:rsid w:val="00C16302"/>
  </w:style>
  <w:style w:type="character" w:customStyle="1" w:styleId="tabchar">
    <w:name w:val="tabchar"/>
    <w:basedOn w:val="DefaultParagraphFont"/>
    <w:rsid w:val="00C16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interchange.puc.texas.gov/Documents/52373_24_114763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8WyyY9c7aQ8XuVFSnk3kmCjBmw==">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</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C9A57FF-02AB-43F2-A359-091B10C59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1950</Words>
  <Characters>11118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13042</CharactersWithSpaces>
  <SharedDoc>false</SharedDoc>
  <HLinks>
    <vt:vector size="12" baseType="variant">
      <vt:variant>
        <vt:i4>4128865</vt:i4>
      </vt:variant>
      <vt:variant>
        <vt:i4>3</vt:i4>
      </vt:variant>
      <vt:variant>
        <vt:i4>0</vt:i4>
      </vt:variant>
      <vt:variant>
        <vt:i4>5</vt:i4>
      </vt:variant>
      <vt:variant>
        <vt:lpwstr>https://interchange.puc.texas.gov/Documents/52373_24_1147630.PDF</vt:lpwstr>
      </vt:variant>
      <vt:variant>
        <vt:lpwstr/>
      </vt:variant>
      <vt:variant>
        <vt:i4>4259926</vt:i4>
      </vt:variant>
      <vt:variant>
        <vt:i4>0</vt:i4>
      </vt:variant>
      <vt:variant>
        <vt:i4>0</vt:i4>
      </vt:variant>
      <vt:variant>
        <vt:i4>5</vt:i4>
      </vt:variant>
      <vt:variant>
        <vt:lpwstr>https://www.puc.texas.gov/industry/projects/electric/38578/38578.aspx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Jewell</dc:creator>
  <cp:keywords/>
  <cp:lastModifiedBy>Jess Totten</cp:lastModifiedBy>
  <cp:revision>2</cp:revision>
  <dcterms:created xsi:type="dcterms:W3CDTF">2022-12-15T20:49:00Z</dcterms:created>
  <dcterms:modified xsi:type="dcterms:W3CDTF">2022-12-15T20:49:00Z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7ad33d-ed35-43c0-b526-22bc83c17deb_Enabled">
    <vt:lpwstr>true</vt:lpwstr>
  </property>
  <property fmtid="{D5CDD505-2E9C-101B-9397-08002B2CF9AE}" pid="3" name="MSIP_Label_797ad33d-ed35-43c0-b526-22bc83c17deb_SetDate">
    <vt:lpwstr>2022-12-14T14:26:10Z</vt:lpwstr>
  </property>
  <property fmtid="{D5CDD505-2E9C-101B-9397-08002B2CF9AE}" pid="4" name="MSIP_Label_797ad33d-ed35-43c0-b526-22bc83c17deb_Method">
    <vt:lpwstr>Standard</vt:lpwstr>
  </property>
  <property fmtid="{D5CDD505-2E9C-101B-9397-08002B2CF9AE}" pid="5" name="MSIP_Label_797ad33d-ed35-43c0-b526-22bc83c17deb_Name">
    <vt:lpwstr>797ad33d-ed35-43c0-b526-22bc83c17deb</vt:lpwstr>
  </property>
  <property fmtid="{D5CDD505-2E9C-101B-9397-08002B2CF9AE}" pid="6" name="MSIP_Label_797ad33d-ed35-43c0-b526-22bc83c17deb_SiteId">
    <vt:lpwstr>d539d4bf-5610-471a-afc2-1c76685cfefa</vt:lpwstr>
  </property>
  <property fmtid="{D5CDD505-2E9C-101B-9397-08002B2CF9AE}" pid="7" name="MSIP_Label_797ad33d-ed35-43c0-b526-22bc83c17deb_ActionId">
    <vt:lpwstr>096cac62-1357-402f-9068-9f55881ed46c</vt:lpwstr>
  </property>
  <property fmtid="{D5CDD505-2E9C-101B-9397-08002B2CF9AE}" pid="8" name="MSIP_Label_797ad33d-ed35-43c0-b526-22bc83c17deb_ContentBits">
    <vt:lpwstr>1</vt:lpwstr>
  </property>
</Properties>
</file>